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autoSpaceDN w:val="0"/>
        <w:spacing w:line="360" w:lineRule="auto"/>
        <w:ind w:firstLine="56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/>
          <w:sz w:val="28"/>
          <w:szCs w:val="28"/>
        </w:rPr>
        <w:t>安徽信息工程学院GPU服务器采购</w:t>
      </w:r>
      <w:r>
        <w:rPr>
          <w:rFonts w:hint="eastAsia"/>
          <w:sz w:val="28"/>
          <w:szCs w:val="28"/>
          <w:lang w:val="en-US" w:eastAsia="zh-CN"/>
        </w:rPr>
        <w:t>项目技术要求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</w:rPr>
      </w:pPr>
      <w:bookmarkStart w:id="0" w:name="_GoBack"/>
      <w:bookmarkEnd w:id="0"/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1.服务器：标准4U机架式服务器，含导轨；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2.CPU：配置2颗Intel Xeon Gold 5218，单颗16核，主频2.30 GHz；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3.内存：配置16根16GB DDR4内存，最大支持内存插槽数16个；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4.硬盘：配置2块240G SSD 2.5寸，4块6T SATA 3.5寸，板载支持1个 M.2 NVMe SSD；  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5.网卡：配置2个万兆 RJ45 网口（兼容千兆），2个千兆电口，2个万兆光口（x710芯片,含光模块）；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6.RAID卡：1个SAS 12Gb 3008IR，支持RAID 0/1/1E/10；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7.GPU: 配置2块NVIDIA A40/48GB ，包含GPU散热套件；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8.PCI-E扩展性：最大支持 4 张全高全长双宽GPU 加速卡；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9.电源：配置不小于1600W 1+1冗余电源；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10.管理功能：支持IPMI2.0，对外提供1个100/1000 Mbps RJ45管理网口，集成iKVM，支持远程管理；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11.数量要求：1台；</w:t>
      </w:r>
    </w:p>
    <w:p>
      <w:pPr>
        <w:pStyle w:val="3"/>
        <w:autoSpaceDE w:val="0"/>
        <w:autoSpaceDN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12.品牌要求：浪潮、戴尔、H3C。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ZDhlOWNlOGNjMjZmOWY5YjcxMjA0NmIwODhiZDAifQ=="/>
  </w:docVars>
  <w:rsids>
    <w:rsidRoot w:val="00000000"/>
    <w:rsid w:val="02E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2022-10-26T06:47:52Z</dcterms:created>
  <dc:creator>admin</dc:creator>
  <cp:lastModifiedBy>张天宇</cp:lastModifiedBy>
  <dcterms:modified xsi:type="dcterms:W3CDTF">2022-10-26T06:48:11Z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AC41FBD03CCC42B8BBE1902BEB3EA5D1</vt:lpwstr>
  </property>
</Properties>
</file>