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360" w:lineRule="auto"/>
        <w:ind w:firstLine="840" w:firstLineChars="300"/>
        <w:rPr>
          <w:rFonts w:hint="default" w:ascii="宋体" w:hAnsi="宋体" w:eastAsia="宋体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安徽信息工程学院GPU服务器采购</w:t>
      </w:r>
      <w:r>
        <w:rPr>
          <w:rFonts w:hint="eastAsia"/>
          <w:sz w:val="28"/>
          <w:szCs w:val="28"/>
          <w:lang w:val="en-US" w:eastAsia="zh-CN"/>
        </w:rPr>
        <w:t>项目技术要求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1.服务器：标准4U机架式服务器，含导轨；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2.CPU：配置2颗Intel Xeon Gold 5218，单颗16核，主频2.30 GHz；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3.内存：配置16根16GB DDR4内存，最大支持内存插槽数16个；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4.硬盘：配置2块240G SSD 2.5寸，4块6T SATA 3.5寸，板载支持1个 M.2 NVMe SSD；  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5.网卡：配置2个万兆 RJ45 网口（兼容千兆），2个千兆电口，2个万兆光口（x710芯片,含光模块）；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6.RAID卡：1个SAS 12Gb 3008IR，支持RAID 0/1/1E/10；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7.GPU: 配置2块NVIDIA A40/48GB ，包含GPU散热套件，显卡需进行虚拟化；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8.PCI-E扩展性：最大支持 4 张全高全长双宽GPU 加速卡；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9.电源：配置不小于1600W 1+1冗余电源；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10.管理功能：支持IPMI2.0，对外提供1个100/1000 Mbps RJ45管理网口，集成iKVM，支持远程管理；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11.数量要求：1台；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12.品牌要求：</w:t>
      </w:r>
      <w:r>
        <w:rPr>
          <w:rFonts w:hint="eastAsia" w:ascii="宋体" w:hAnsi="宋体"/>
          <w:lang w:val="en-US"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DhlOWNlOGNjMjZmOWY5YjcxMjA0NmIwODhiZDAifQ=="/>
  </w:docVars>
  <w:rsids>
    <w:rsidRoot w:val="00000000"/>
    <w:rsid w:val="00760755"/>
    <w:rsid w:val="02E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439</Characters>
  <Lines>0</Lines>
  <Paragraphs>0</Paragraphs>
  <TotalTime>0</TotalTime>
  <ScaleCrop>false</ScaleCrop>
  <LinksUpToDate>false</LinksUpToDate>
  <CharactersWithSpaces>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2022-10-26T06:47:00Z</dcterms:created>
  <dc:creator>admin</dc:creator>
  <cp:lastModifiedBy>张天宇</cp:lastModifiedBy>
  <dcterms:modified xsi:type="dcterms:W3CDTF">2022-11-21T00:36:22Z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AC41FBD03CCC42B8BBE1902BEB3EA5D1</vt:lpwstr>
  </property>
</Properties>
</file>