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100"/>
        <w:jc w:val="center"/>
        <w:rPr>
          <w:rFonts w:hint="eastAsia" w:eastAsia="宋体"/>
          <w:b/>
          <w:bCs/>
          <w:lang w:val="en-US" w:eastAsia="zh-CN"/>
        </w:rPr>
      </w:pPr>
      <w:r>
        <w:rPr>
          <w:rFonts w:hint="eastAsia"/>
          <w:b/>
          <w:bCs/>
          <w:sz w:val="28"/>
          <w:szCs w:val="28"/>
        </w:rPr>
        <w:t>安徽信息工程学院2023年</w:t>
      </w:r>
      <w:r>
        <w:rPr>
          <w:rFonts w:hint="eastAsia"/>
          <w:b/>
          <w:bCs/>
          <w:sz w:val="28"/>
          <w:szCs w:val="28"/>
          <w:lang w:val="en-US" w:eastAsia="zh-CN"/>
        </w:rPr>
        <w:t>电路分析</w:t>
      </w:r>
      <w:r>
        <w:rPr>
          <w:rFonts w:hint="eastAsia"/>
          <w:b/>
          <w:bCs/>
          <w:sz w:val="28"/>
          <w:szCs w:val="28"/>
        </w:rPr>
        <w:t>实验室扩建项目</w:t>
      </w:r>
      <w:r>
        <w:rPr>
          <w:rFonts w:hint="eastAsia"/>
          <w:b/>
          <w:bCs/>
          <w:sz w:val="28"/>
          <w:szCs w:val="28"/>
          <w:lang w:val="en-US" w:eastAsia="zh-CN"/>
        </w:rPr>
        <w:t>明细表</w:t>
      </w:r>
    </w:p>
    <w:p/>
    <w:tbl>
      <w:tblPr>
        <w:tblStyle w:val="5"/>
        <w:tblW w:w="12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65"/>
        <w:gridCol w:w="9328"/>
        <w:gridCol w:w="765"/>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56" w:type="dxa"/>
            <w:vAlign w:val="center"/>
          </w:tcPr>
          <w:p>
            <w:pPr>
              <w:spacing w:line="400" w:lineRule="exact"/>
              <w:jc w:val="center"/>
              <w:rPr>
                <w:rFonts w:ascii="宋体" w:hAnsi="宋体"/>
                <w:bCs/>
                <w:sz w:val="24"/>
              </w:rPr>
            </w:pPr>
            <w:r>
              <w:rPr>
                <w:rFonts w:hint="eastAsia" w:ascii="宋体" w:hAnsi="宋体"/>
                <w:bCs/>
                <w:sz w:val="24"/>
              </w:rPr>
              <w:t>序号</w:t>
            </w:r>
          </w:p>
        </w:tc>
        <w:tc>
          <w:tcPr>
            <w:tcW w:w="1065" w:type="dxa"/>
            <w:vAlign w:val="center"/>
          </w:tcPr>
          <w:p>
            <w:pPr>
              <w:spacing w:line="400" w:lineRule="exact"/>
              <w:jc w:val="center"/>
              <w:rPr>
                <w:rFonts w:ascii="宋体" w:hAnsi="宋体"/>
                <w:bCs/>
                <w:sz w:val="24"/>
              </w:rPr>
            </w:pPr>
            <w:r>
              <w:rPr>
                <w:rFonts w:hint="eastAsia" w:ascii="宋体" w:hAnsi="宋体"/>
                <w:bCs/>
                <w:sz w:val="24"/>
              </w:rPr>
              <w:t>名称</w:t>
            </w:r>
          </w:p>
        </w:tc>
        <w:tc>
          <w:tcPr>
            <w:tcW w:w="9328" w:type="dxa"/>
            <w:vAlign w:val="center"/>
          </w:tcPr>
          <w:p>
            <w:pPr>
              <w:spacing w:line="400" w:lineRule="exact"/>
              <w:jc w:val="center"/>
              <w:rPr>
                <w:rFonts w:hint="default" w:ascii="宋体" w:hAnsi="宋体" w:eastAsia="宋体"/>
                <w:bCs/>
                <w:sz w:val="24"/>
                <w:lang w:val="en-US" w:eastAsia="zh-CN"/>
              </w:rPr>
            </w:pPr>
            <w:r>
              <w:rPr>
                <w:rFonts w:hint="eastAsia" w:ascii="宋体" w:hAnsi="宋体"/>
                <w:bCs/>
                <w:sz w:val="24"/>
                <w:lang w:val="en-US" w:eastAsia="zh-CN"/>
              </w:rPr>
              <w:t>参数</w:t>
            </w:r>
          </w:p>
        </w:tc>
        <w:tc>
          <w:tcPr>
            <w:tcW w:w="765" w:type="dxa"/>
            <w:vAlign w:val="center"/>
          </w:tcPr>
          <w:p>
            <w:pPr>
              <w:spacing w:line="400" w:lineRule="exact"/>
              <w:jc w:val="center"/>
              <w:rPr>
                <w:rFonts w:hint="eastAsia" w:ascii="宋体" w:hAnsi="宋体" w:eastAsia="宋体"/>
                <w:bCs/>
                <w:sz w:val="24"/>
                <w:lang w:val="en-US" w:eastAsia="zh-CN"/>
              </w:rPr>
            </w:pPr>
            <w:r>
              <w:rPr>
                <w:rFonts w:hint="eastAsia" w:ascii="宋体" w:hAnsi="宋体"/>
                <w:bCs/>
                <w:sz w:val="24"/>
                <w:lang w:val="en-US" w:eastAsia="zh-CN"/>
              </w:rPr>
              <w:t>单位</w:t>
            </w:r>
          </w:p>
        </w:tc>
        <w:tc>
          <w:tcPr>
            <w:tcW w:w="737" w:type="dxa"/>
            <w:vAlign w:val="center"/>
          </w:tcPr>
          <w:p>
            <w:pPr>
              <w:spacing w:line="400" w:lineRule="exact"/>
              <w:jc w:val="center"/>
              <w:rPr>
                <w:rFonts w:hint="eastAsia" w:ascii="宋体" w:hAnsi="宋体"/>
                <w:bCs/>
                <w:sz w:val="24"/>
                <w:lang w:eastAsia="zh-CN"/>
              </w:rPr>
            </w:pPr>
            <w:r>
              <w:rPr>
                <w:rFonts w:hint="eastAsia" w:ascii="宋体" w:hAnsi="宋体"/>
                <w:bCs/>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6" w:type="dxa"/>
            <w:vAlign w:val="center"/>
          </w:tcPr>
          <w:p>
            <w:pPr>
              <w:keepNext w:val="0"/>
              <w:keepLines w:val="0"/>
              <w:widowControl/>
              <w:suppressLineNumbers w:val="0"/>
              <w:jc w:val="center"/>
              <w:textAlignment w:val="center"/>
              <w:rPr>
                <w:rFonts w:ascii="宋体" w:hAnsi="宋体"/>
                <w:bCs/>
                <w:sz w:val="24"/>
              </w:rPr>
            </w:pPr>
            <w:r>
              <w:rPr>
                <w:rFonts w:hint="eastAsia" w:ascii="宋体" w:hAnsi="宋体" w:eastAsia="宋体" w:cs="宋体"/>
                <w:i w:val="0"/>
                <w:iCs w:val="0"/>
                <w:color w:val="000000"/>
                <w:kern w:val="0"/>
                <w:sz w:val="22"/>
                <w:szCs w:val="22"/>
                <w:u w:val="none"/>
                <w:lang w:val="en-US" w:eastAsia="zh-CN" w:bidi="ar"/>
              </w:rPr>
              <w:t>1</w:t>
            </w:r>
          </w:p>
        </w:tc>
        <w:tc>
          <w:tcPr>
            <w:tcW w:w="1065" w:type="dxa"/>
            <w:vAlign w:val="center"/>
          </w:tcPr>
          <w:p>
            <w:pPr>
              <w:keepNext w:val="0"/>
              <w:keepLines w:val="0"/>
              <w:widowControl/>
              <w:suppressLineNumbers w:val="0"/>
              <w:jc w:val="center"/>
              <w:textAlignment w:val="center"/>
              <w:rPr>
                <w:rFonts w:ascii="宋体" w:hAnsi="宋体"/>
                <w:bCs/>
                <w:sz w:val="24"/>
              </w:rPr>
            </w:pPr>
            <w:r>
              <w:rPr>
                <w:rFonts w:hint="eastAsia" w:ascii="宋体" w:hAnsi="宋体" w:eastAsia="宋体" w:cs="宋体"/>
                <w:i w:val="0"/>
                <w:iCs w:val="0"/>
                <w:color w:val="000000"/>
                <w:kern w:val="0"/>
                <w:sz w:val="22"/>
                <w:szCs w:val="22"/>
                <w:u w:val="none"/>
                <w:lang w:val="en-US" w:eastAsia="zh-CN" w:bidi="ar"/>
              </w:rPr>
              <w:t>函数信号发生器</w:t>
            </w:r>
          </w:p>
        </w:tc>
        <w:tc>
          <w:tcPr>
            <w:tcW w:w="9328" w:type="dxa"/>
            <w:vAlign w:val="center"/>
          </w:tcPr>
          <w:p>
            <w:pPr>
              <w:keepNext w:val="0"/>
              <w:keepLines w:val="0"/>
              <w:widowControl/>
              <w:suppressLineNumbers w:val="0"/>
              <w:jc w:val="both"/>
              <w:textAlignment w:val="center"/>
              <w:rPr>
                <w:rFonts w:ascii="宋体" w:hAnsi="宋体"/>
                <w:bCs/>
                <w:sz w:val="24"/>
              </w:rPr>
            </w:pPr>
            <w:r>
              <w:rPr>
                <w:rFonts w:hint="eastAsia" w:ascii="宋体" w:hAnsi="宋体" w:eastAsia="宋体" w:cs="宋体"/>
                <w:i w:val="0"/>
                <w:iCs w:val="0"/>
                <w:color w:val="000000"/>
                <w:kern w:val="0"/>
                <w:sz w:val="22"/>
                <w:szCs w:val="22"/>
                <w:u w:val="none"/>
                <w:lang w:val="en-US" w:eastAsia="zh-CN" w:bidi="ar"/>
              </w:rPr>
              <w:t xml:space="preserve">1、等性能双通道， 最高输出频率（正弦波）：30 MHz； </w:t>
            </w:r>
            <w:r>
              <w:rPr>
                <w:rFonts w:ascii="Wingdings" w:hAnsi="Wingdings" w:eastAsia="宋体" w:cs="Wingdings"/>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2、最大采样率：200 MSa/s， 垂直分辨率：14 bits；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3、每通道任意波存储深度8M点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4、160种内建任意波形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★5、逐点生成任意波形，不失真还原信号，采样率精确可调，降低传统DDS信号源产生的信号抖动，抖动可低至200ps</w:t>
            </w:r>
            <w:r>
              <w:rPr>
                <w:rFonts w:hint="eastAsia" w:ascii="宋体" w:hAnsi="宋体" w:eastAsia="宋体" w:cs="宋体"/>
                <w:b/>
                <w:bCs/>
                <w:i w:val="0"/>
                <w:iCs w:val="0"/>
                <w:color w:val="FF0000"/>
                <w:kern w:val="0"/>
                <w:sz w:val="22"/>
                <w:szCs w:val="22"/>
                <w:u w:val="none"/>
                <w:lang w:val="en-US" w:eastAsia="zh-CN" w:bidi="ar"/>
              </w:rPr>
              <w:t>（提供功能截图证明材料）。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★6、支持由低频向高频或由高频向低频扫描输出，扫描类型包括线性、对数和步进，可设定“标记”频率，满足幅频测试应用需求。突发模式功能提供N循环、无限和门控三种类型的脉冲串</w:t>
            </w:r>
            <w:r>
              <w:rPr>
                <w:rFonts w:hint="eastAsia" w:ascii="宋体" w:hAnsi="宋体" w:eastAsia="宋体" w:cs="宋体"/>
                <w:b/>
                <w:bCs/>
                <w:i w:val="0"/>
                <w:iCs w:val="0"/>
                <w:color w:val="FF0000"/>
                <w:kern w:val="0"/>
                <w:sz w:val="22"/>
                <w:szCs w:val="22"/>
                <w:u w:val="none"/>
                <w:lang w:val="en-US" w:eastAsia="zh-CN" w:bidi="ar"/>
              </w:rPr>
              <w:t>（提供功能截图证明材料）。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★7、内置8次谐波发生器功能，输出具有指定次数、幅度和相位的谐波</w:t>
            </w:r>
            <w:r>
              <w:rPr>
                <w:rFonts w:hint="eastAsia" w:ascii="宋体" w:hAnsi="宋体" w:eastAsia="宋体" w:cs="宋体"/>
                <w:b/>
                <w:bCs/>
                <w:i w:val="0"/>
                <w:iCs w:val="0"/>
                <w:color w:val="FF0000"/>
                <w:kern w:val="0"/>
                <w:sz w:val="22"/>
                <w:szCs w:val="22"/>
                <w:u w:val="none"/>
                <w:lang w:val="en-US" w:eastAsia="zh-CN" w:bidi="ar"/>
              </w:rPr>
              <w:t>（提供功能截图证明材料）。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★8、可在基本波上叠加指定频率和百分比幅度的波形后进行输出；通道跟踪功能打开时，双通道所有参数均可同时根据用户的配置更新</w:t>
            </w:r>
            <w:r>
              <w:rPr>
                <w:rFonts w:hint="eastAsia" w:ascii="宋体" w:hAnsi="宋体" w:eastAsia="宋体" w:cs="宋体"/>
                <w:b/>
                <w:bCs/>
                <w:i w:val="0"/>
                <w:iCs w:val="0"/>
                <w:color w:val="FF0000"/>
                <w:kern w:val="0"/>
                <w:sz w:val="22"/>
                <w:szCs w:val="22"/>
                <w:u w:val="none"/>
                <w:lang w:val="en-US" w:eastAsia="zh-CN" w:bidi="ar"/>
              </w:rPr>
              <w:t>（提供功能截图证明材料）。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9、调制功能：AM、FM、PM、ASK、FSK、PSK和PWM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10、内置7 digits/s，200MHz带宽的频率计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11、标准配置接口：USB Host、USB Device、LAN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FF0000"/>
                <w:kern w:val="0"/>
                <w:sz w:val="22"/>
                <w:szCs w:val="22"/>
                <w:u w:val="none"/>
                <w:lang w:val="en-US" w:eastAsia="zh-CN" w:bidi="ar"/>
              </w:rPr>
              <w:t>12、供应商须提供生产厂家三年免费售后服务承诺（须提供承诺函，格式自拟）及以上设备彩页资料。</w:t>
            </w:r>
          </w:p>
        </w:tc>
        <w:tc>
          <w:tcPr>
            <w:tcW w:w="765" w:type="dxa"/>
            <w:vAlign w:val="center"/>
          </w:tcPr>
          <w:p>
            <w:pPr>
              <w:spacing w:line="400" w:lineRule="exact"/>
              <w:jc w:val="center"/>
              <w:rPr>
                <w:rFonts w:ascii="宋体" w:hAnsi="宋体"/>
                <w:bCs/>
                <w:sz w:val="24"/>
              </w:rPr>
            </w:pPr>
            <w:r>
              <w:rPr>
                <w:rFonts w:hint="eastAsia" w:ascii="宋体" w:hAnsi="宋体"/>
                <w:bCs/>
                <w:sz w:val="24"/>
                <w:lang w:eastAsia="zh-CN"/>
              </w:rPr>
              <w:t>台</w:t>
            </w:r>
          </w:p>
        </w:tc>
        <w:tc>
          <w:tcPr>
            <w:tcW w:w="737" w:type="dxa"/>
            <w:vAlign w:val="center"/>
          </w:tcPr>
          <w:p>
            <w:pPr>
              <w:spacing w:line="400" w:lineRule="exact"/>
              <w:jc w:val="center"/>
              <w:rPr>
                <w:rFonts w:ascii="宋体" w:hAnsi="宋体"/>
                <w:bCs/>
                <w:sz w:val="24"/>
              </w:rPr>
            </w:pPr>
            <w:r>
              <w:rPr>
                <w:rFonts w:hint="eastAsia" w:ascii="宋体" w:hAnsi="宋体"/>
                <w:bCs/>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6" w:type="dxa"/>
            <w:vAlign w:val="center"/>
          </w:tcPr>
          <w:p>
            <w:pPr>
              <w:keepNext w:val="0"/>
              <w:keepLines w:val="0"/>
              <w:widowControl/>
              <w:suppressLineNumbers w:val="0"/>
              <w:jc w:val="center"/>
              <w:textAlignment w:val="center"/>
              <w:rPr>
                <w:rFonts w:ascii="宋体" w:hAnsi="宋体"/>
                <w:bCs/>
                <w:sz w:val="24"/>
              </w:rPr>
            </w:pPr>
            <w:r>
              <w:rPr>
                <w:rFonts w:hint="eastAsia" w:ascii="宋体" w:hAnsi="宋体" w:eastAsia="宋体" w:cs="宋体"/>
                <w:i w:val="0"/>
                <w:iCs w:val="0"/>
                <w:color w:val="000000"/>
                <w:kern w:val="0"/>
                <w:sz w:val="22"/>
                <w:szCs w:val="22"/>
                <w:u w:val="none"/>
                <w:lang w:val="en-US" w:eastAsia="zh-CN" w:bidi="ar"/>
              </w:rPr>
              <w:t>2</w:t>
            </w:r>
          </w:p>
        </w:tc>
        <w:tc>
          <w:tcPr>
            <w:tcW w:w="1065" w:type="dxa"/>
            <w:vAlign w:val="center"/>
          </w:tcPr>
          <w:p>
            <w:pPr>
              <w:keepNext w:val="0"/>
              <w:keepLines w:val="0"/>
              <w:widowControl/>
              <w:suppressLineNumbers w:val="0"/>
              <w:jc w:val="center"/>
              <w:textAlignment w:val="center"/>
              <w:rPr>
                <w:rFonts w:ascii="宋体" w:hAnsi="宋体"/>
                <w:bCs/>
                <w:sz w:val="24"/>
              </w:rPr>
            </w:pPr>
            <w:r>
              <w:rPr>
                <w:rFonts w:hint="eastAsia" w:ascii="宋体" w:hAnsi="宋体" w:eastAsia="宋体" w:cs="宋体"/>
                <w:i w:val="0"/>
                <w:iCs w:val="0"/>
                <w:color w:val="000000"/>
                <w:kern w:val="0"/>
                <w:sz w:val="22"/>
                <w:szCs w:val="22"/>
                <w:u w:val="none"/>
                <w:lang w:val="en-US" w:eastAsia="zh-CN" w:bidi="ar"/>
              </w:rPr>
              <w:t>示波器</w:t>
            </w:r>
          </w:p>
        </w:tc>
        <w:tc>
          <w:tcPr>
            <w:tcW w:w="9328" w:type="dxa"/>
            <w:vAlign w:val="center"/>
          </w:tcPr>
          <w:p>
            <w:pPr>
              <w:keepNext w:val="0"/>
              <w:keepLines w:val="0"/>
              <w:widowControl/>
              <w:suppressLineNumbers w:val="0"/>
              <w:jc w:val="both"/>
              <w:textAlignment w:val="center"/>
              <w:rPr>
                <w:rFonts w:ascii="宋体" w:hAnsi="宋体"/>
                <w:bCs/>
                <w:sz w:val="24"/>
              </w:rPr>
            </w:pPr>
            <w:r>
              <w:rPr>
                <w:rFonts w:hint="eastAsia" w:ascii="宋体" w:hAnsi="宋体" w:eastAsia="宋体" w:cs="宋体"/>
                <w:i w:val="0"/>
                <w:iCs w:val="0"/>
                <w:color w:val="000000"/>
                <w:kern w:val="0"/>
                <w:sz w:val="22"/>
                <w:szCs w:val="22"/>
                <w:u w:val="none"/>
                <w:lang w:val="en-US" w:eastAsia="zh-CN" w:bidi="ar"/>
              </w:rPr>
              <w:t xml:space="preserve">1、模拟通道带宽：不低于120 MHz；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2、不少于2个模拟通道 ；除此之外还需有外触发输入通道；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3、实时采样率不低于1GSa/s；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★4、标配存储深度不低于24 Mpts；所有波形点可以用excel格式导出在电脑打开分析</w:t>
            </w:r>
            <w:r>
              <w:rPr>
                <w:rFonts w:hint="eastAsia" w:ascii="宋体" w:hAnsi="宋体" w:eastAsia="宋体" w:cs="宋体"/>
                <w:b/>
                <w:bCs/>
                <w:i w:val="0"/>
                <w:iCs w:val="0"/>
                <w:color w:val="FF0000"/>
                <w:kern w:val="0"/>
                <w:sz w:val="22"/>
                <w:szCs w:val="22"/>
                <w:u w:val="none"/>
                <w:lang w:val="en-US" w:eastAsia="zh-CN" w:bidi="ar"/>
              </w:rPr>
              <w:t>（提供功能截图证明文件）</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★5、波形捕获率达不小于30,000wfms/s</w:t>
            </w:r>
            <w:r>
              <w:rPr>
                <w:rFonts w:hint="eastAsia" w:ascii="宋体" w:hAnsi="宋体" w:eastAsia="宋体" w:cs="宋体"/>
                <w:b/>
                <w:bCs/>
                <w:i w:val="0"/>
                <w:iCs w:val="0"/>
                <w:color w:val="FF0000"/>
                <w:kern w:val="0"/>
                <w:sz w:val="22"/>
                <w:szCs w:val="22"/>
                <w:u w:val="none"/>
                <w:lang w:val="en-US" w:eastAsia="zh-CN" w:bidi="ar"/>
              </w:rPr>
              <w:t>（提供功能截图证明文件）</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6、不低于60000帧的硬件实时波形不间断录制和回放功能；</w:t>
            </w:r>
            <w:r>
              <w:rPr>
                <w:rFonts w:hint="eastAsia" w:ascii="宋体" w:hAnsi="宋体" w:eastAsia="宋体" w:cs="宋体"/>
                <w:b/>
                <w:bCs/>
                <w:i w:val="0"/>
                <w:iCs w:val="0"/>
                <w:color w:val="FF0000"/>
                <w:kern w:val="0"/>
                <w:sz w:val="22"/>
                <w:szCs w:val="22"/>
                <w:u w:val="none"/>
                <w:lang w:val="en-US" w:eastAsia="zh-CN" w:bidi="ar"/>
              </w:rPr>
              <w:t>（提供功能截图证明文件）</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★7、具有丰富的触发和总线解码功能；（支持RS232/UART,I²C，SPI），</w:t>
            </w:r>
            <w:r>
              <w:rPr>
                <w:rFonts w:hint="eastAsia" w:ascii="宋体" w:hAnsi="宋体" w:eastAsia="宋体" w:cs="宋体"/>
                <w:b/>
                <w:bCs/>
                <w:i w:val="0"/>
                <w:iCs w:val="0"/>
                <w:color w:val="FF0000"/>
                <w:kern w:val="0"/>
                <w:sz w:val="22"/>
                <w:szCs w:val="22"/>
                <w:u w:val="none"/>
                <w:lang w:val="en-US" w:eastAsia="zh-CN" w:bidi="ar"/>
              </w:rPr>
              <w:t>提供功能截图证明材料；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★8、低底噪声，垂直档位500uV/div~10 V/div；</w:t>
            </w:r>
            <w:r>
              <w:rPr>
                <w:rFonts w:hint="eastAsia" w:ascii="宋体" w:hAnsi="宋体" w:eastAsia="宋体" w:cs="宋体"/>
                <w:b/>
                <w:bCs/>
                <w:i w:val="0"/>
                <w:iCs w:val="0"/>
                <w:color w:val="FF0000"/>
                <w:kern w:val="0"/>
                <w:sz w:val="22"/>
                <w:szCs w:val="22"/>
                <w:u w:val="none"/>
                <w:lang w:val="en-US" w:eastAsia="zh-CN" w:bidi="ar"/>
              </w:rPr>
              <w:t>（提供官方彩页证明材料）</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9、丰富的接口：USB Host&amp;Device、LAN（LXI）、AUX；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10、7英寸WVGA（800×480）TFT液晶屏，多级波形灰度显示；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★11、具有示波器波形和状态实时监控功能，支持多仪器多窗口显示，支持虚拟面板功能，支持多接口远程控制</w:t>
            </w:r>
            <w:r>
              <w:rPr>
                <w:rFonts w:hint="eastAsia" w:ascii="宋体" w:hAnsi="宋体" w:eastAsia="宋体" w:cs="宋体"/>
                <w:b/>
                <w:bCs/>
                <w:i w:val="0"/>
                <w:iCs w:val="0"/>
                <w:color w:val="FF0000"/>
                <w:kern w:val="0"/>
                <w:sz w:val="22"/>
                <w:szCs w:val="22"/>
                <w:u w:val="none"/>
                <w:lang w:val="en-US" w:eastAsia="zh-CN" w:bidi="ar"/>
              </w:rPr>
              <w:t>（提供功能截图证明材料）；</w:t>
            </w:r>
            <w:r>
              <w:rPr>
                <w:rFonts w:hint="eastAsia" w:ascii="宋体" w:hAnsi="宋体" w:eastAsia="宋体" w:cs="宋体"/>
                <w:b/>
                <w:bCs/>
                <w:i w:val="0"/>
                <w:iCs w:val="0"/>
                <w:color w:val="FF0000"/>
                <w:kern w:val="0"/>
                <w:sz w:val="22"/>
                <w:szCs w:val="22"/>
                <w:u w:val="none"/>
                <w:lang w:val="en-US" w:eastAsia="zh-CN" w:bidi="ar"/>
              </w:rPr>
              <w:br w:type="textWrapping"/>
            </w:r>
            <w:r>
              <w:rPr>
                <w:rFonts w:hint="eastAsia" w:ascii="宋体" w:hAnsi="宋体" w:eastAsia="宋体" w:cs="宋体"/>
                <w:b/>
                <w:bCs/>
                <w:i w:val="0"/>
                <w:iCs w:val="0"/>
                <w:color w:val="FF0000"/>
                <w:kern w:val="0"/>
                <w:sz w:val="22"/>
                <w:szCs w:val="22"/>
                <w:u w:val="none"/>
                <w:lang w:val="en-US" w:eastAsia="zh-CN" w:bidi="ar"/>
              </w:rPr>
              <w:t>12、响应文件中提供标有CNAS标识的实验室产品认可证书扫描件或复印件；</w:t>
            </w:r>
            <w:r>
              <w:rPr>
                <w:rFonts w:hint="eastAsia" w:ascii="宋体" w:hAnsi="宋体" w:eastAsia="宋体" w:cs="宋体"/>
                <w:b/>
                <w:bCs/>
                <w:i w:val="0"/>
                <w:iCs w:val="0"/>
                <w:color w:val="FF0000"/>
                <w:kern w:val="0"/>
                <w:sz w:val="22"/>
                <w:szCs w:val="22"/>
                <w:u w:val="none"/>
                <w:lang w:val="en-US" w:eastAsia="zh-CN" w:bidi="ar"/>
              </w:rPr>
              <w:br w:type="textWrapping"/>
            </w:r>
            <w:r>
              <w:rPr>
                <w:rFonts w:hint="eastAsia" w:ascii="宋体" w:hAnsi="宋体" w:eastAsia="宋体" w:cs="宋体"/>
                <w:b/>
                <w:bCs/>
                <w:i w:val="0"/>
                <w:iCs w:val="0"/>
                <w:color w:val="FF0000"/>
                <w:kern w:val="0"/>
                <w:sz w:val="22"/>
                <w:szCs w:val="22"/>
                <w:u w:val="none"/>
                <w:lang w:val="en-US" w:eastAsia="zh-CN" w:bidi="ar"/>
              </w:rPr>
              <w:t>13、供应商须提供生产厂家三年免费售后服务承诺（须提供承诺函，格式自拟）及以上设备彩页资料。</w:t>
            </w:r>
          </w:p>
        </w:tc>
        <w:tc>
          <w:tcPr>
            <w:tcW w:w="765" w:type="dxa"/>
            <w:vAlign w:val="center"/>
          </w:tcPr>
          <w:p>
            <w:pPr>
              <w:spacing w:line="400" w:lineRule="exact"/>
              <w:jc w:val="center"/>
              <w:rPr>
                <w:rFonts w:ascii="宋体" w:hAnsi="宋体"/>
                <w:bCs/>
                <w:sz w:val="24"/>
              </w:rPr>
            </w:pPr>
            <w:r>
              <w:rPr>
                <w:rFonts w:hint="eastAsia" w:ascii="宋体" w:hAnsi="宋体"/>
                <w:bCs/>
                <w:sz w:val="24"/>
                <w:lang w:eastAsia="zh-CN"/>
              </w:rPr>
              <w:t>台</w:t>
            </w:r>
          </w:p>
        </w:tc>
        <w:tc>
          <w:tcPr>
            <w:tcW w:w="737" w:type="dxa"/>
            <w:vAlign w:val="center"/>
          </w:tcPr>
          <w:p>
            <w:pPr>
              <w:spacing w:line="400" w:lineRule="exact"/>
              <w:jc w:val="center"/>
              <w:rPr>
                <w:rFonts w:ascii="宋体" w:hAnsi="宋体"/>
                <w:bCs/>
                <w:sz w:val="24"/>
              </w:rPr>
            </w:pPr>
            <w:r>
              <w:rPr>
                <w:rFonts w:hint="eastAsia" w:ascii="宋体" w:hAnsi="宋体"/>
                <w:bCs/>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jc w:val="center"/>
        </w:trPr>
        <w:tc>
          <w:tcPr>
            <w:tcW w:w="756"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bookmarkStart w:id="0" w:name="_GoBack" w:colFirst="4" w:colLast="4"/>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pStyle w:val="2"/>
              <w:rPr>
                <w:rFonts w:hint="eastAsia" w:ascii="宋体" w:hAnsi="宋体" w:cs="宋体"/>
                <w:i w:val="0"/>
                <w:iCs w:val="0"/>
                <w:color w:val="000000"/>
                <w:kern w:val="0"/>
                <w:sz w:val="22"/>
                <w:szCs w:val="22"/>
                <w:u w:val="none"/>
                <w:lang w:val="en-US" w:eastAsia="zh-CN" w:bidi="ar"/>
              </w:rPr>
            </w:pPr>
          </w:p>
          <w:p>
            <w:pPr>
              <w:rPr>
                <w:rFonts w:hint="default" w:ascii="宋体" w:hAnsi="宋体" w:cs="宋体"/>
                <w:i w:val="0"/>
                <w:iCs w:val="0"/>
                <w:color w:val="000000"/>
                <w:kern w:val="0"/>
                <w:sz w:val="22"/>
                <w:szCs w:val="22"/>
                <w:u w:val="none"/>
                <w:lang w:val="en-US" w:eastAsia="zh-CN" w:bidi="ar"/>
              </w:rPr>
            </w:pPr>
          </w:p>
          <w:p>
            <w:pPr>
              <w:pStyle w:val="2"/>
              <w:rPr>
                <w:rFonts w:hint="eastAsia" w:ascii="宋体" w:hAnsi="宋体" w:cs="宋体"/>
                <w:i w:val="0"/>
                <w:iCs w:val="0"/>
                <w:color w:val="000000"/>
                <w:kern w:val="0"/>
                <w:sz w:val="22"/>
                <w:szCs w:val="22"/>
                <w:u w:val="none"/>
                <w:lang w:val="en-US" w:eastAsia="zh-CN" w:bidi="ar"/>
              </w:rPr>
            </w:pPr>
          </w:p>
          <w:p>
            <w:pPr>
              <w:rPr>
                <w:rFonts w:hint="eastAsia" w:ascii="宋体" w:hAnsi="宋体" w:cs="宋体"/>
                <w:i w:val="0"/>
                <w:iCs w:val="0"/>
                <w:color w:val="000000"/>
                <w:kern w:val="0"/>
                <w:sz w:val="22"/>
                <w:szCs w:val="22"/>
                <w:u w:val="none"/>
                <w:lang w:val="en-US" w:eastAsia="zh-CN" w:bidi="ar"/>
              </w:rPr>
            </w:pPr>
          </w:p>
          <w:p>
            <w:pPr>
              <w:pStyle w:val="2"/>
              <w:rPr>
                <w:rFonts w:hint="eastAsia" w:ascii="宋体" w:hAnsi="宋体" w:cs="宋体"/>
                <w:i w:val="0"/>
                <w:iCs w:val="0"/>
                <w:color w:val="000000"/>
                <w:kern w:val="0"/>
                <w:sz w:val="22"/>
                <w:szCs w:val="22"/>
                <w:u w:val="none"/>
                <w:lang w:val="en-US" w:eastAsia="zh-CN" w:bidi="ar"/>
              </w:rPr>
            </w:pPr>
          </w:p>
          <w:p>
            <w:pPr>
              <w:pStyle w:val="2"/>
              <w:rPr>
                <w:rFonts w:hint="eastAsia" w:ascii="宋体" w:hAnsi="宋体" w:cs="宋体"/>
                <w:i w:val="0"/>
                <w:iCs w:val="0"/>
                <w:color w:val="000000"/>
                <w:kern w:val="0"/>
                <w:sz w:val="22"/>
                <w:szCs w:val="22"/>
                <w:u w:val="none"/>
                <w:lang w:val="en-US" w:eastAsia="zh-CN" w:bidi="ar"/>
              </w:rPr>
            </w:pPr>
          </w:p>
          <w:p>
            <w:pPr>
              <w:rPr>
                <w:rFonts w:hint="eastAsia" w:ascii="宋体" w:hAnsi="宋体" w:cs="宋体"/>
                <w:i w:val="0"/>
                <w:iCs w:val="0"/>
                <w:color w:val="000000"/>
                <w:kern w:val="0"/>
                <w:sz w:val="22"/>
                <w:szCs w:val="22"/>
                <w:u w:val="none"/>
                <w:lang w:val="en-US" w:eastAsia="zh-CN" w:bidi="ar"/>
              </w:rPr>
            </w:pPr>
          </w:p>
          <w:p>
            <w:pPr>
              <w:pStyle w:val="2"/>
              <w:rPr>
                <w:rFonts w:hint="eastAsia" w:ascii="宋体" w:hAnsi="宋体" w:cs="宋体"/>
                <w:i w:val="0"/>
                <w:iCs w:val="0"/>
                <w:color w:val="000000"/>
                <w:kern w:val="0"/>
                <w:sz w:val="22"/>
                <w:szCs w:val="22"/>
                <w:u w:val="none"/>
                <w:lang w:val="en-US" w:eastAsia="zh-CN" w:bidi="ar"/>
              </w:rPr>
            </w:pPr>
          </w:p>
          <w:p>
            <w:pPr>
              <w:rPr>
                <w:rFonts w:hint="eastAsia" w:ascii="宋体" w:hAnsi="宋体" w:cs="宋体"/>
                <w:i w:val="0"/>
                <w:iCs w:val="0"/>
                <w:color w:val="000000"/>
                <w:kern w:val="0"/>
                <w:sz w:val="22"/>
                <w:szCs w:val="22"/>
                <w:u w:val="none"/>
                <w:lang w:val="en-US" w:eastAsia="zh-CN" w:bidi="ar"/>
              </w:rPr>
            </w:pPr>
          </w:p>
          <w:p>
            <w:pPr>
              <w:pStyle w:val="2"/>
              <w:rPr>
                <w:rFonts w:hint="default"/>
                <w:lang w:val="en-US" w:eastAsia="zh-CN"/>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0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ascii="宋体" w:hAnsi="宋体"/>
                <w:bCs/>
                <w:sz w:val="24"/>
              </w:rPr>
            </w:pPr>
            <w:r>
              <w:rPr>
                <w:rFonts w:hint="eastAsia" w:ascii="宋体" w:hAnsi="宋体" w:eastAsia="宋体" w:cs="宋体"/>
                <w:i w:val="0"/>
                <w:iCs w:val="0"/>
                <w:color w:val="000000"/>
                <w:kern w:val="0"/>
                <w:sz w:val="22"/>
                <w:szCs w:val="22"/>
                <w:u w:val="none"/>
                <w:lang w:val="en-US" w:eastAsia="zh-CN" w:bidi="ar"/>
              </w:rPr>
              <w:t>现代电工技术实验装置</w:t>
            </w:r>
          </w:p>
        </w:tc>
        <w:tc>
          <w:tcPr>
            <w:tcW w:w="9328" w:type="dxa"/>
            <w:vAlign w:val="center"/>
          </w:tcPr>
          <w:p>
            <w:pPr>
              <w:keepNext w:val="0"/>
              <w:keepLines w:val="0"/>
              <w:widowControl/>
              <w:numPr>
                <w:ilvl w:val="0"/>
                <w:numId w:val="1"/>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整体要求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要求该装置满足本科院校的《电路分析》、 《电工基础》、 《电工学》等课程的实验教学。实验台应配置三相交流可调电源，配备交流仪表模块、直流电源模块（含恒流源和恒压源）、交流数字毫伏表模块、十进制电阻箱（可程控）模块、交流电路模块、三相灯泡负载模块、直流电源及插座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二、技术条件要求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1．整机容量：</w:t>
            </w:r>
            <w:r>
              <w:rPr>
                <w:rFonts w:hint="eastAsia" w:ascii="宋体" w:hAnsi="宋体" w:eastAsia="宋体" w:cs="宋体"/>
                <w:i w:val="0"/>
                <w:iCs w:val="0"/>
                <w:color w:val="000000"/>
                <w:kern w:val="0"/>
                <w:sz w:val="22"/>
                <w:szCs w:val="22"/>
                <w:u w:val="none"/>
                <w:lang w:val="en-US" w:eastAsia="zh-CN" w:bidi="ar"/>
              </w:rPr>
              <w:t>小于1.5KVA;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2．尺    寸：</w:t>
            </w:r>
            <w:r>
              <w:rPr>
                <w:rFonts w:hint="eastAsia" w:ascii="宋体" w:hAnsi="宋体" w:eastAsia="宋体" w:cs="宋体"/>
                <w:i w:val="0"/>
                <w:iCs w:val="0"/>
                <w:color w:val="000000"/>
                <w:kern w:val="0"/>
                <w:sz w:val="22"/>
                <w:szCs w:val="22"/>
                <w:u w:val="none"/>
                <w:lang w:val="en-US" w:eastAsia="zh-CN" w:bidi="ar"/>
              </w:rPr>
              <w:t>不大于1200mm×750mm×1600mm（长×宽×高）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3．重    量：</w:t>
            </w:r>
            <w:r>
              <w:rPr>
                <w:rFonts w:hint="eastAsia" w:ascii="宋体" w:hAnsi="宋体" w:eastAsia="宋体" w:cs="宋体"/>
                <w:i w:val="0"/>
                <w:iCs w:val="0"/>
                <w:color w:val="000000"/>
                <w:kern w:val="0"/>
                <w:sz w:val="22"/>
                <w:szCs w:val="22"/>
                <w:u w:val="none"/>
                <w:lang w:val="en-US" w:eastAsia="zh-CN" w:bidi="ar"/>
              </w:rPr>
              <w:t>小于200kg;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4．工作电源：</w:t>
            </w:r>
            <w:r>
              <w:rPr>
                <w:rFonts w:hint="eastAsia" w:ascii="宋体" w:hAnsi="宋体" w:eastAsia="宋体" w:cs="宋体"/>
                <w:i w:val="0"/>
                <w:iCs w:val="0"/>
                <w:color w:val="000000"/>
                <w:kern w:val="0"/>
                <w:sz w:val="22"/>
                <w:szCs w:val="22"/>
                <w:u w:val="none"/>
                <w:lang w:val="en-US" w:eastAsia="zh-CN" w:bidi="ar"/>
              </w:rPr>
              <w:t>AC3N/380V/50Hz/3A。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三、装置技术要求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（一）装置安全保护要求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（1）要求提供电流型漏电保护，符合国家低压电气安全标准的要求；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（2）要求高压实验导线采用全塑型安全实验导线，低压实验导线采用金属头导线，二者不可互插。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★（3）实验操作挂件面板要求采用3mm厚高强度绝缘材料雕刻丝印。基于教师、学生实验操作的人身安全性考虑，要求所有挂箱的箱体及面板均采用非金属绝缘材料,不采用金属材料的箱体及面板。</w:t>
            </w:r>
            <w:r>
              <w:rPr>
                <w:rFonts w:hint="eastAsia" w:ascii="宋体" w:hAnsi="宋体" w:eastAsia="宋体" w:cs="宋体"/>
                <w:b/>
                <w:bCs/>
                <w:i w:val="0"/>
                <w:iCs w:val="0"/>
                <w:color w:val="FF0000"/>
                <w:kern w:val="0"/>
                <w:sz w:val="22"/>
                <w:szCs w:val="22"/>
                <w:u w:val="none"/>
                <w:lang w:val="en-US" w:eastAsia="zh-CN" w:bidi="ar"/>
              </w:rPr>
              <w:t>要求投标文件中提供挂箱正反面的实物彩色图片。中标商签订合同后3个工作日内，提供样品到校核验，如有虚假，采购人有权取消合同，上报采购监督管理部门。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（4）要求实验装置的电源、测量仪表均应设计断路、开路、过量程等保护功能。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（二）装置结构要求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★实验装置要求采用双层铝合金框架结构，将各种电源、测量仪表做成可活动挂箱，方便拆卸维修。</w:t>
            </w:r>
            <w:r>
              <w:rPr>
                <w:rFonts w:hint="eastAsia" w:ascii="宋体" w:hAnsi="宋体" w:eastAsia="宋体" w:cs="宋体"/>
                <w:b/>
                <w:bCs/>
                <w:i w:val="0"/>
                <w:iCs w:val="0"/>
                <w:color w:val="FF0000"/>
                <w:kern w:val="0"/>
                <w:sz w:val="22"/>
                <w:szCs w:val="22"/>
                <w:u w:val="none"/>
                <w:lang w:val="en-US" w:eastAsia="zh-CN" w:bidi="ar"/>
              </w:rPr>
              <w:t>要求投标文件中提供各挂箱图片。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实验桌为铁质双层亚光密纹喷塑结构，桌面采用高密度防腐防火板。设有存放柜，用于置放挂箱等。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（三）装置配置技术要求</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1、交流电源</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要求提供0～430V/3A三相交流可调实验电源，同时得到 0-250V/3A单相交流可调电源，电源输出需具备电子线路和保险丝双重保护功能，带发光二极管缺相指示。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2、交流仪表</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要求采用高性能 ARM 芯片和高精度的传感器组成，测量方式采用实时曲线采样逐点计算，量程自动换档，具有过压过流，错接线路不损坏仪表等功能，通过开关切换可得到 3 只电压、3 只电流和 3 只功率及功率因素表；三相交流数字电压表：精度不低于 0.5级，测量范围不低于 0～450V；三相交流数字电流表：精度不低于 0.5级，测量范围不低于 0～3A；功率、功率因数表测量范围 0-500V、0-5A，精度≤1级； </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3、直流电源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恒压源：两路输出。要求调节范围不低于0～30V连续可调，最大输出电流：1A；调节精度1%；具有短路保护和自动恢复功能。</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恒流源：要求调节范围不低于 0～200mA连续可调，具备 2mA、20mA和200mA三档量程切换；具有开路保护功能，带3位半监视仪表。 </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4、交流数字毫伏表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电压测量范围：0－700V，量程 200mV, 2V，20V,200V,700V 五档直键开关切换，3 位半数字显示，并提供电压输入探头，精度 1.5 级。具有浮地测试功能。 </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5、十进制电阻箱（可程控）</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该程控可调电阻箱要求采用单片机作为核心芯片设计而成。有不少于 1 路 1Ω-9.999kΩ可调电阻输出，电阻分段×1Ω/2W，×10Ω/2W，× 100Ω/2W,×1kΩ/2W切换，通过旋转编码器设定输出电阻阻值，电阻输出精度不大于 0.5%，带四位数字仪表显示输出电阻，当电阻超功耗时即断开保护。</w:t>
            </w:r>
            <w:r>
              <w:rPr>
                <w:rFonts w:hint="eastAsia" w:ascii="宋体" w:hAnsi="宋体" w:eastAsia="宋体" w:cs="宋体"/>
                <w:b/>
                <w:bCs/>
                <w:i w:val="0"/>
                <w:iCs w:val="0"/>
                <w:color w:val="FF0000"/>
                <w:kern w:val="0"/>
                <w:sz w:val="22"/>
                <w:szCs w:val="22"/>
                <w:u w:val="none"/>
                <w:lang w:val="en-US" w:eastAsia="zh-CN" w:bidi="ar"/>
              </w:rPr>
              <w:t>要求投标文件中提供任一段数字电阻箱连续可调实物图片不少于 3张。</w:t>
            </w:r>
            <w:r>
              <w:rPr>
                <w:rFonts w:hint="eastAsia" w:ascii="宋体" w:hAnsi="宋体" w:eastAsia="宋体" w:cs="宋体"/>
                <w:b/>
                <w:bCs/>
                <w:i w:val="0"/>
                <w:iCs w:val="0"/>
                <w:color w:val="000000"/>
                <w:kern w:val="0"/>
                <w:sz w:val="22"/>
                <w:szCs w:val="22"/>
                <w:u w:val="none"/>
                <w:lang w:val="en-US" w:eastAsia="zh-CN" w:bidi="ar"/>
              </w:rPr>
              <w:t xml:space="preserve"> </w:t>
            </w:r>
          </w:p>
          <w:p>
            <w:pPr>
              <w:keepNext w:val="0"/>
              <w:keepLines w:val="0"/>
              <w:widowControl/>
              <w:numPr>
                <w:ilvl w:val="0"/>
                <w:numId w:val="0"/>
              </w:numPr>
              <w:suppressLineNumbers w:val="0"/>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要求对此智能调节负载控制系统—数字可调十进制电阻箱可进行远程控制，可通过上位机 LabVIEW 软件操作并对实时信号进行采集显示，通过上位机软件远程操作并读取显示。</w:t>
            </w:r>
            <w:r>
              <w:rPr>
                <w:rFonts w:hint="eastAsia" w:ascii="宋体" w:hAnsi="宋体" w:eastAsia="宋体" w:cs="宋体"/>
                <w:b/>
                <w:bCs/>
                <w:i w:val="0"/>
                <w:iCs w:val="0"/>
                <w:color w:val="FF0000"/>
                <w:kern w:val="0"/>
                <w:sz w:val="22"/>
                <w:szCs w:val="22"/>
                <w:u w:val="none"/>
                <w:lang w:val="en-US" w:eastAsia="zh-CN" w:bidi="ar"/>
              </w:rPr>
              <w:t>并在签订合同后 3 个工作日内，提供程控电阻箱到校进行功能演示。</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w:t>
            </w:r>
            <w:r>
              <w:rPr>
                <w:rFonts w:hint="eastAsia" w:ascii="宋体" w:hAnsi="宋体" w:cs="宋体"/>
                <w:b/>
                <w:bCs/>
                <w:i w:val="0"/>
                <w:iCs w:val="0"/>
                <w:color w:val="FF0000"/>
                <w:kern w:val="0"/>
                <w:sz w:val="22"/>
                <w:szCs w:val="22"/>
                <w:u w:val="none"/>
                <w:lang w:val="en-US" w:eastAsia="zh-CN" w:bidi="ar"/>
              </w:rPr>
              <w:t xml:space="preserve"> </w:t>
            </w:r>
            <w:r>
              <w:rPr>
                <w:rFonts w:hint="eastAsia" w:ascii="宋体" w:hAnsi="宋体" w:eastAsia="宋体" w:cs="宋体"/>
                <w:b/>
                <w:bCs/>
                <w:i w:val="0"/>
                <w:iCs w:val="0"/>
                <w:color w:val="FF0000"/>
                <w:kern w:val="0"/>
                <w:sz w:val="22"/>
                <w:szCs w:val="22"/>
                <w:u w:val="none"/>
                <w:lang w:val="en-US" w:eastAsia="zh-CN" w:bidi="ar"/>
              </w:rPr>
              <w:t>为了保证产品质量和避免软件版权纠纷，要求投标文件中提供智能调节负载控制系统软件的计算机软件著作权证书扫描件。</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6、交流电路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要求提供实验变压器、互感线圈和不低于4组电流取样插座； </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7、三相灯泡负载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提供 3组25W灯泡，完成三相电量的测量及Y/Δ连接实验。 </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8、直流电源及插座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要求提供±5V/1A和±12V/1A四路直流稳压电源和不低于2组的220V交流电源插座。 </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四、配套软件教学资源库</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（一）电工电子技术原理虚拟现实仿真软件</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1、要求电工电子技术原理虚拟现实仿真软件基于 Multisim、LabVIEW或Matlab等软件设计，电工电子技术原理虚拟现实仿真软件内置的器件单元要有如下特点: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（1）软件仪表单元内部参数一致（如内阻、误差、特点）。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（2）软件仪表在电工实物产品功能单元模型基础上进行建模，软件上进行实验的操作方法和接线与真实产品完全一致。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（3）学生可在虚拟环境中进行实验完，再到实验台上进行真实实操，避免设备由于学生操作不当造成的损坏。</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2、软件特色要求</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（1）所有仪表和电源输出能进行实时控制。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（2）实验线路能按照教学需求任意搭建，具有很强的开放性和设计性。</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w:t>
            </w:r>
            <w:r>
              <w:rPr>
                <w:rFonts w:hint="eastAsia" w:ascii="宋体" w:hAnsi="宋体" w:cs="宋体"/>
                <w:b/>
                <w:bCs/>
                <w:i w:val="0"/>
                <w:iCs w:val="0"/>
                <w:color w:val="FF0000"/>
                <w:kern w:val="0"/>
                <w:sz w:val="22"/>
                <w:szCs w:val="22"/>
                <w:u w:val="none"/>
                <w:lang w:val="en-US" w:eastAsia="zh-CN" w:bidi="ar"/>
              </w:rPr>
              <w:t xml:space="preserve"> </w:t>
            </w:r>
            <w:r>
              <w:rPr>
                <w:rFonts w:hint="eastAsia" w:ascii="宋体" w:hAnsi="宋体" w:eastAsia="宋体" w:cs="宋体"/>
                <w:b/>
                <w:bCs/>
                <w:i w:val="0"/>
                <w:iCs w:val="0"/>
                <w:color w:val="FF0000"/>
                <w:kern w:val="0"/>
                <w:sz w:val="22"/>
                <w:szCs w:val="22"/>
                <w:u w:val="none"/>
                <w:lang w:val="en-US" w:eastAsia="zh-CN" w:bidi="ar"/>
              </w:rPr>
              <w:t>为了保证产品质量和避免软件版权纠纷，投标文件中提供电工电子技术原理虚拟现实仿真软件的计算机软件著作权证书扫描件。</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（二）电工教学实验台3D动画教学虚拟仿真软件要求</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1、要求电工教学实验台 3D 动画教学虚拟仿真软件配套电工教学实验台使用，要求能在具有物理属性的 3D环境中进行虚拟设备的仿真教学。满足“电路分析”、“电工基础”、“电工学”等课程的虚拟动画实验教学；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2、要求软件中 1:1还原了实验台的整体架构，三相交流可调电源、直流电源、信号源及频率计、交直流测量仪表等仪器仪表，配合实验模块完成课程对应的实验项目。该实验系统结合了国内外先进的理念，无论从结构上、性能上、配置上、形式上有了较大的创新，还能满足院校的工程训练的要求，为院校开发创新性、设计性实验提供良好的平台； </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要求软件设计中涉及到实验数据的，都是实验台的实测数据，保证实验数据的真实性，同时，学生也可以经过软件的模拟学习后，在硬件电工实验台上进行数据的实测验证。软件界面中，设计了每个实验，需要的实验挂箱，具体的实验原理，实验电路，以及实验导线的连接，具体实验操作过程，并带有实测的实验数据； </w:t>
            </w:r>
          </w:p>
          <w:p>
            <w:pPr>
              <w:keepNext w:val="0"/>
              <w:keepLines w:val="0"/>
              <w:widowControl/>
              <w:numPr>
                <w:ilvl w:val="0"/>
                <w:numId w:val="0"/>
              </w:numPr>
              <w:suppressLineNumbers w:val="0"/>
              <w:jc w:val="both"/>
              <w:textAlignment w:val="center"/>
              <w:rPr>
                <w:rFonts w:hint="eastAsia"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★为了保证产品质量和避免版权纠纷，投标文件中提供电工教学实验台3D动画教学虚拟仿真软件的计算机软件著作权证书扫描件。</w:t>
            </w:r>
          </w:p>
          <w:p>
            <w:pPr>
              <w:keepNext w:val="0"/>
              <w:keepLines w:val="0"/>
              <w:widowControl/>
              <w:numPr>
                <w:ilvl w:val="0"/>
                <w:numId w:val="0"/>
              </w:numPr>
              <w:suppressLineNumbers w:val="0"/>
              <w:jc w:val="both"/>
              <w:textAlignment w:val="center"/>
              <w:rPr>
                <w:rFonts w:ascii="宋体" w:hAnsi="宋体"/>
                <w:bCs/>
                <w:sz w:val="24"/>
              </w:rPr>
            </w:pPr>
            <w:r>
              <w:rPr>
                <w:rFonts w:hint="eastAsia" w:ascii="宋体" w:hAnsi="宋体" w:eastAsia="宋体" w:cs="宋体"/>
                <w:b/>
                <w:bCs/>
                <w:i w:val="0"/>
                <w:iCs w:val="0"/>
                <w:color w:val="000000"/>
                <w:kern w:val="0"/>
                <w:sz w:val="22"/>
                <w:szCs w:val="22"/>
                <w:u w:val="none"/>
                <w:lang w:val="en-US" w:eastAsia="zh-CN" w:bidi="ar"/>
              </w:rPr>
              <w:t>五、其它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供应商须提供不少于5年的免费保修服务。</w:t>
            </w:r>
          </w:p>
        </w:tc>
        <w:tc>
          <w:tcPr>
            <w:tcW w:w="765" w:type="dxa"/>
            <w:vAlign w:val="center"/>
          </w:tcPr>
          <w:p>
            <w:pPr>
              <w:spacing w:line="400" w:lineRule="exact"/>
              <w:jc w:val="center"/>
              <w:rPr>
                <w:rFonts w:ascii="宋体" w:hAnsi="宋体"/>
                <w:bCs/>
                <w:sz w:val="24"/>
              </w:rPr>
            </w:pPr>
            <w:r>
              <w:rPr>
                <w:rFonts w:hint="eastAsia" w:ascii="宋体" w:hAnsi="宋体"/>
                <w:bCs/>
                <w:sz w:val="24"/>
                <w:lang w:eastAsia="zh-CN"/>
              </w:rPr>
              <w:t>台</w:t>
            </w:r>
          </w:p>
        </w:tc>
        <w:tc>
          <w:tcPr>
            <w:tcW w:w="737" w:type="dxa"/>
            <w:tcBorders/>
            <w:vAlign w:val="center"/>
          </w:tcPr>
          <w:p>
            <w:pPr>
              <w:spacing w:line="400" w:lineRule="exact"/>
              <w:jc w:val="center"/>
              <w:rPr>
                <w:rFonts w:ascii="宋体" w:hAnsi="宋体"/>
                <w:bCs/>
                <w:sz w:val="24"/>
              </w:rPr>
            </w:pPr>
            <w:r>
              <w:rPr>
                <w:rFonts w:hint="eastAsia" w:ascii="宋体" w:hAnsi="宋体"/>
                <w:bCs/>
                <w:sz w:val="24"/>
                <w:lang w:val="en-US" w:eastAsia="zh-CN"/>
              </w:rPr>
              <w:t>5</w:t>
            </w:r>
          </w:p>
        </w:tc>
      </w:tr>
      <w:bookmarkEnd w:id="0"/>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7F2BA"/>
    <w:multiLevelType w:val="singleLevel"/>
    <w:tmpl w:val="1697F2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DhlOWNlOGNjMjZmOWY5YjcxMjA0NmIwODhiZDAifQ=="/>
  </w:docVars>
  <w:rsids>
    <w:rsidRoot w:val="00000000"/>
    <w:rsid w:val="057A3EE9"/>
    <w:rsid w:val="40746042"/>
    <w:rsid w:val="7CA4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3207</Words>
  <Characters>3564</Characters>
  <Lines>0</Lines>
  <Paragraphs>0</Paragraphs>
  <TotalTime>2</TotalTime>
  <ScaleCrop>false</ScaleCrop>
  <LinksUpToDate>false</LinksUpToDate>
  <CharactersWithSpaces>3652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2023-05-24T08:28:00Z</dcterms:created>
  <dc:creator>admin</dc:creator>
  <cp:lastModifiedBy>张天宇</cp:lastModifiedBy>
  <dcterms:modified xsi:type="dcterms:W3CDTF">2023-05-30T03:00:27Z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9669A4B26EB74C4B8639D94803E2E471_12</vt:lpwstr>
  </property>
</Properties>
</file>