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CED0D">
      <w:pPr>
        <w:jc w:val="center"/>
        <w:rPr>
          <w:rFonts w:hint="eastAsia" w:ascii="宋体" w:hAnsi="宋体" w:cs="宋体"/>
          <w:bCs w:val="0"/>
          <w:color w:val="000000"/>
          <w:sz w:val="32"/>
          <w:szCs w:val="32"/>
          <w:highlight w:val="none"/>
          <w:lang w:val="en-US" w:eastAsia="zh-CN"/>
        </w:rPr>
      </w:pPr>
      <w:bookmarkStart w:id="4" w:name="_GoBack"/>
      <w:r>
        <w:rPr>
          <w:rFonts w:hint="eastAsia" w:ascii="宋体" w:hAnsi="宋体" w:cs="宋体"/>
          <w:bCs w:val="0"/>
          <w:color w:val="000000"/>
          <w:sz w:val="32"/>
          <w:szCs w:val="32"/>
          <w:highlight w:val="none"/>
          <w:lang w:val="en-US" w:eastAsia="zh-CN"/>
        </w:rPr>
        <w:t>教学用云存储及算力服务采购需求</w:t>
      </w:r>
      <w:bookmarkEnd w:id="4"/>
    </w:p>
    <w:p w14:paraId="4B3D3AF0">
      <w:pPr>
        <w:pStyle w:val="6"/>
        <w:keepNext w:val="0"/>
        <w:keepLines w:val="0"/>
        <w:pageBreakBefore w:val="0"/>
        <w:widowControl w:val="0"/>
        <w:kinsoku/>
        <w:wordWrap/>
        <w:overflowPunct/>
        <w:topLinePunct w:val="0"/>
        <w:autoSpaceDE/>
        <w:autoSpaceDN/>
        <w:bidi w:val="0"/>
        <w:adjustRightInd/>
        <w:snapToGrid/>
        <w:spacing w:before="0" w:after="0" w:line="240" w:lineRule="auto"/>
        <w:ind w:left="578" w:hanging="578"/>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技术服务采购</w:t>
      </w:r>
      <w:r>
        <w:rPr>
          <w:rFonts w:hint="eastAsia" w:ascii="宋体" w:hAnsi="宋体" w:eastAsia="宋体" w:cs="宋体"/>
          <w:color w:val="000000"/>
          <w:sz w:val="28"/>
          <w:szCs w:val="28"/>
          <w:highlight w:val="none"/>
        </w:rPr>
        <w:t>需求一览表</w:t>
      </w:r>
    </w:p>
    <w:p w14:paraId="64911624">
      <w:pPr>
        <w:pStyle w:val="10"/>
        <w:spacing w:line="360" w:lineRule="auto"/>
        <w:ind w:firstLine="420"/>
        <w:rPr>
          <w:rFonts w:hint="default"/>
          <w:sz w:val="24"/>
          <w:szCs w:val="24"/>
          <w:highlight w:val="none"/>
          <w:lang w:val="en-US" w:eastAsia="zh-CN"/>
        </w:rPr>
      </w:pPr>
      <w:r>
        <w:rPr>
          <w:rFonts w:hint="eastAsia"/>
          <w:sz w:val="24"/>
          <w:szCs w:val="24"/>
          <w:highlight w:val="none"/>
          <w:lang w:val="en-US" w:eastAsia="zh-CN"/>
        </w:rPr>
        <w:t>通过教学用云存储及算力服务采购，满</w:t>
      </w:r>
      <w:r>
        <w:rPr>
          <w:rFonts w:hint="eastAsia"/>
          <w:color w:val="000000" w:themeColor="text1"/>
          <w:sz w:val="24"/>
          <w:szCs w:val="24"/>
          <w:highlight w:val="none"/>
          <w:lang w:val="en-US" w:eastAsia="zh-CN"/>
          <w14:textFill>
            <w14:solidFill>
              <w14:schemeClr w14:val="tx1"/>
            </w14:solidFill>
          </w14:textFill>
        </w:rPr>
        <w:t>足当前安徽</w:t>
      </w:r>
      <w:r>
        <w:rPr>
          <w:rFonts w:hint="eastAsia"/>
          <w:sz w:val="24"/>
          <w:szCs w:val="24"/>
          <w:highlight w:val="none"/>
          <w:lang w:val="en-US" w:eastAsia="zh-CN"/>
        </w:rPr>
        <w:t>信息工程学院对计算资源、存储资源、网络资源、平台软件资源的需求，具体服务采购需求如下：</w:t>
      </w:r>
    </w:p>
    <w:tbl>
      <w:tblPr>
        <w:tblStyle w:val="8"/>
        <w:tblW w:w="4982" w:type="pct"/>
        <w:jc w:val="center"/>
        <w:tblLayout w:type="autofit"/>
        <w:tblCellMar>
          <w:top w:w="0" w:type="dxa"/>
          <w:left w:w="108" w:type="dxa"/>
          <w:bottom w:w="0" w:type="dxa"/>
          <w:right w:w="108" w:type="dxa"/>
        </w:tblCellMar>
      </w:tblPr>
      <w:tblGrid>
        <w:gridCol w:w="726"/>
        <w:gridCol w:w="1811"/>
        <w:gridCol w:w="535"/>
        <w:gridCol w:w="697"/>
        <w:gridCol w:w="4722"/>
      </w:tblGrid>
      <w:tr w14:paraId="1D6D11BA">
        <w:tblPrEx>
          <w:tblCellMar>
            <w:top w:w="0" w:type="dxa"/>
            <w:left w:w="108" w:type="dxa"/>
            <w:bottom w:w="0" w:type="dxa"/>
            <w:right w:w="108" w:type="dxa"/>
          </w:tblCellMar>
        </w:tblPrEx>
        <w:trPr>
          <w:trHeight w:val="320" w:hRule="atLeast"/>
          <w:jc w:val="center"/>
        </w:trPr>
        <w:tc>
          <w:tcPr>
            <w:tcW w:w="427" w:type="pct"/>
            <w:tcBorders>
              <w:top w:val="single" w:color="auto" w:sz="4" w:space="0"/>
              <w:left w:val="single" w:color="auto" w:sz="4" w:space="0"/>
              <w:bottom w:val="single" w:color="auto" w:sz="4" w:space="0"/>
              <w:right w:val="single" w:color="auto" w:sz="4" w:space="0"/>
            </w:tcBorders>
            <w:vAlign w:val="center"/>
          </w:tcPr>
          <w:p w14:paraId="69A43CFF">
            <w:pPr>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序号</w:t>
            </w:r>
          </w:p>
        </w:tc>
        <w:tc>
          <w:tcPr>
            <w:tcW w:w="1066" w:type="pct"/>
            <w:tcBorders>
              <w:top w:val="single" w:color="auto" w:sz="4" w:space="0"/>
              <w:left w:val="nil"/>
              <w:bottom w:val="single" w:color="auto" w:sz="4" w:space="0"/>
              <w:right w:val="single" w:color="auto" w:sz="4" w:space="0"/>
            </w:tcBorders>
            <w:vAlign w:val="center"/>
          </w:tcPr>
          <w:p w14:paraId="3DEA21E6">
            <w:pPr>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服务内容</w:t>
            </w:r>
          </w:p>
        </w:tc>
        <w:tc>
          <w:tcPr>
            <w:tcW w:w="315" w:type="pct"/>
            <w:tcBorders>
              <w:top w:val="single" w:color="auto" w:sz="4" w:space="0"/>
              <w:left w:val="nil"/>
              <w:bottom w:val="single" w:color="auto" w:sz="4" w:space="0"/>
              <w:right w:val="single" w:color="auto" w:sz="4" w:space="0"/>
            </w:tcBorders>
            <w:vAlign w:val="center"/>
          </w:tcPr>
          <w:p w14:paraId="30007B73">
            <w:pPr>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数量</w:t>
            </w:r>
          </w:p>
        </w:tc>
        <w:tc>
          <w:tcPr>
            <w:tcW w:w="410" w:type="pct"/>
            <w:tcBorders>
              <w:top w:val="single" w:color="auto" w:sz="4" w:space="0"/>
              <w:left w:val="nil"/>
              <w:bottom w:val="single" w:color="auto" w:sz="4" w:space="0"/>
              <w:right w:val="single" w:color="auto" w:sz="4" w:space="0"/>
            </w:tcBorders>
            <w:vAlign w:val="center"/>
          </w:tcPr>
          <w:p w14:paraId="7152B5E5">
            <w:pPr>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单位</w:t>
            </w:r>
          </w:p>
        </w:tc>
        <w:tc>
          <w:tcPr>
            <w:tcW w:w="2779" w:type="pct"/>
            <w:tcBorders>
              <w:top w:val="single" w:color="auto" w:sz="4" w:space="0"/>
              <w:left w:val="nil"/>
              <w:bottom w:val="single" w:color="auto" w:sz="4" w:space="0"/>
              <w:right w:val="single" w:color="auto" w:sz="4" w:space="0"/>
            </w:tcBorders>
            <w:vAlign w:val="center"/>
          </w:tcPr>
          <w:p w14:paraId="0D4EABB7">
            <w:pPr>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服务要求/备注</w:t>
            </w:r>
          </w:p>
        </w:tc>
      </w:tr>
      <w:tr w14:paraId="327FEF43">
        <w:tblPrEx>
          <w:tblCellMar>
            <w:top w:w="0" w:type="dxa"/>
            <w:left w:w="108" w:type="dxa"/>
            <w:bottom w:w="0" w:type="dxa"/>
            <w:right w:w="108" w:type="dxa"/>
          </w:tblCellMar>
        </w:tblPrEx>
        <w:trPr>
          <w:trHeight w:val="300" w:hRule="atLeast"/>
          <w:jc w:val="center"/>
        </w:trPr>
        <w:tc>
          <w:tcPr>
            <w:tcW w:w="427" w:type="pct"/>
            <w:tcBorders>
              <w:top w:val="nil"/>
              <w:left w:val="single" w:color="auto" w:sz="4" w:space="0"/>
              <w:bottom w:val="single" w:color="auto" w:sz="4" w:space="0"/>
              <w:right w:val="single" w:color="auto" w:sz="4" w:space="0"/>
            </w:tcBorders>
            <w:vAlign w:val="center"/>
          </w:tcPr>
          <w:p w14:paraId="207198A8">
            <w:pPr>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066" w:type="pct"/>
            <w:tcBorders>
              <w:top w:val="nil"/>
              <w:left w:val="nil"/>
              <w:bottom w:val="single" w:color="auto" w:sz="4" w:space="0"/>
              <w:right w:val="single" w:color="auto" w:sz="4" w:space="0"/>
            </w:tcBorders>
            <w:vAlign w:val="center"/>
          </w:tcPr>
          <w:p w14:paraId="5816426C">
            <w:pPr>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CPU计算服务</w:t>
            </w:r>
          </w:p>
        </w:tc>
        <w:tc>
          <w:tcPr>
            <w:tcW w:w="315" w:type="pct"/>
            <w:tcBorders>
              <w:top w:val="nil"/>
              <w:left w:val="nil"/>
              <w:bottom w:val="single" w:color="auto" w:sz="4" w:space="0"/>
              <w:right w:val="single" w:color="auto" w:sz="4" w:space="0"/>
            </w:tcBorders>
            <w:vAlign w:val="center"/>
          </w:tcPr>
          <w:p w14:paraId="0B5C6CC6">
            <w:pPr>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2</w:t>
            </w:r>
          </w:p>
        </w:tc>
        <w:tc>
          <w:tcPr>
            <w:tcW w:w="410" w:type="pct"/>
            <w:tcBorders>
              <w:top w:val="nil"/>
              <w:left w:val="nil"/>
              <w:bottom w:val="single" w:color="auto" w:sz="4" w:space="0"/>
              <w:right w:val="single" w:color="auto" w:sz="4" w:space="0"/>
            </w:tcBorders>
            <w:vAlign w:val="center"/>
          </w:tcPr>
          <w:p w14:paraId="357F705F">
            <w:pPr>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项</w:t>
            </w:r>
          </w:p>
        </w:tc>
        <w:tc>
          <w:tcPr>
            <w:tcW w:w="2779" w:type="pct"/>
            <w:tcBorders>
              <w:top w:val="nil"/>
              <w:left w:val="nil"/>
              <w:bottom w:val="single" w:color="auto" w:sz="4" w:space="0"/>
              <w:right w:val="single" w:color="auto" w:sz="4" w:space="0"/>
            </w:tcBorders>
            <w:vAlign w:val="center"/>
          </w:tcPr>
          <w:p w14:paraId="577BCFDB">
            <w:pPr>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rPr>
              <w:t>提供</w:t>
            </w:r>
            <w:r>
              <w:rPr>
                <w:rFonts w:hint="eastAsia" w:ascii="宋体" w:hAnsi="宋体" w:eastAsia="宋体" w:cs="宋体"/>
                <w:b/>
                <w:bCs/>
                <w:color w:val="000000"/>
                <w:kern w:val="0"/>
                <w:sz w:val="24"/>
                <w:szCs w:val="24"/>
                <w:highlight w:val="none"/>
                <w:lang w:val="en-US" w:eastAsia="zh-CN"/>
              </w:rPr>
              <w:t>CPU计算服务</w:t>
            </w:r>
          </w:p>
          <w:p w14:paraId="220854F5">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1、要求</w:t>
            </w:r>
            <w:r>
              <w:rPr>
                <w:rFonts w:hint="eastAsia" w:ascii="宋体" w:hAnsi="宋体" w:eastAsia="宋体" w:cs="宋体"/>
                <w:sz w:val="24"/>
                <w:szCs w:val="24"/>
              </w:rPr>
              <w:t>CPU计算节点1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节点</w:t>
            </w:r>
          </w:p>
          <w:p w14:paraId="6E274538">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2、要求</w:t>
            </w:r>
            <w:r>
              <w:rPr>
                <w:rFonts w:hint="eastAsia" w:ascii="宋体" w:hAnsi="宋体" w:eastAsia="宋体" w:cs="宋体"/>
                <w:sz w:val="24"/>
                <w:szCs w:val="24"/>
              </w:rPr>
              <w:t>CPU计算节点</w:t>
            </w:r>
            <w:r>
              <w:rPr>
                <w:rFonts w:hint="eastAsia" w:ascii="宋体" w:hAnsi="宋体" w:eastAsia="宋体" w:cs="宋体"/>
                <w:sz w:val="24"/>
                <w:szCs w:val="24"/>
                <w:lang w:val="en-US" w:eastAsia="zh-CN"/>
              </w:rPr>
              <w:t>2≥3节点</w:t>
            </w:r>
          </w:p>
        </w:tc>
      </w:tr>
      <w:tr w14:paraId="5B164641">
        <w:tblPrEx>
          <w:tblCellMar>
            <w:top w:w="0" w:type="dxa"/>
            <w:left w:w="108" w:type="dxa"/>
            <w:bottom w:w="0" w:type="dxa"/>
            <w:right w:w="108" w:type="dxa"/>
          </w:tblCellMar>
        </w:tblPrEx>
        <w:trPr>
          <w:trHeight w:val="300" w:hRule="atLeast"/>
          <w:jc w:val="center"/>
        </w:trPr>
        <w:tc>
          <w:tcPr>
            <w:tcW w:w="427" w:type="pct"/>
            <w:tcBorders>
              <w:top w:val="nil"/>
              <w:left w:val="single" w:color="auto" w:sz="4" w:space="0"/>
              <w:bottom w:val="single" w:color="auto" w:sz="4" w:space="0"/>
              <w:right w:val="single" w:color="auto" w:sz="4" w:space="0"/>
            </w:tcBorders>
            <w:vAlign w:val="center"/>
          </w:tcPr>
          <w:p w14:paraId="34037B1C">
            <w:pPr>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1066" w:type="pct"/>
            <w:tcBorders>
              <w:top w:val="nil"/>
              <w:left w:val="nil"/>
              <w:bottom w:val="single" w:color="auto" w:sz="4" w:space="0"/>
              <w:right w:val="single" w:color="auto" w:sz="4" w:space="0"/>
            </w:tcBorders>
            <w:vAlign w:val="center"/>
          </w:tcPr>
          <w:p w14:paraId="2108D81B">
            <w:pPr>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GPU计算服务</w:t>
            </w:r>
          </w:p>
        </w:tc>
        <w:tc>
          <w:tcPr>
            <w:tcW w:w="315" w:type="pct"/>
            <w:tcBorders>
              <w:top w:val="nil"/>
              <w:left w:val="nil"/>
              <w:bottom w:val="single" w:color="auto" w:sz="4" w:space="0"/>
              <w:right w:val="single" w:color="auto" w:sz="4" w:space="0"/>
            </w:tcBorders>
            <w:vAlign w:val="center"/>
          </w:tcPr>
          <w:p w14:paraId="149B52D3">
            <w:pPr>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2</w:t>
            </w:r>
          </w:p>
        </w:tc>
        <w:tc>
          <w:tcPr>
            <w:tcW w:w="410" w:type="pct"/>
            <w:tcBorders>
              <w:top w:val="nil"/>
              <w:left w:val="nil"/>
              <w:bottom w:val="single" w:color="auto" w:sz="4" w:space="0"/>
              <w:right w:val="single" w:color="auto" w:sz="4" w:space="0"/>
            </w:tcBorders>
            <w:vAlign w:val="center"/>
          </w:tcPr>
          <w:p w14:paraId="6F1B12A0">
            <w:pPr>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项</w:t>
            </w:r>
          </w:p>
        </w:tc>
        <w:tc>
          <w:tcPr>
            <w:tcW w:w="2779" w:type="pct"/>
            <w:tcBorders>
              <w:top w:val="nil"/>
              <w:left w:val="nil"/>
              <w:bottom w:val="single" w:color="auto" w:sz="4" w:space="0"/>
              <w:right w:val="single" w:color="auto" w:sz="4" w:space="0"/>
            </w:tcBorders>
            <w:vAlign w:val="center"/>
          </w:tcPr>
          <w:p w14:paraId="2AA29773">
            <w:pPr>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rPr>
              <w:t>提供</w:t>
            </w:r>
            <w:r>
              <w:rPr>
                <w:rFonts w:hint="eastAsia" w:ascii="宋体" w:hAnsi="宋体" w:eastAsia="宋体" w:cs="宋体"/>
                <w:b/>
                <w:bCs/>
                <w:color w:val="000000"/>
                <w:kern w:val="0"/>
                <w:sz w:val="24"/>
                <w:szCs w:val="24"/>
                <w:highlight w:val="none"/>
                <w:lang w:val="en-US" w:eastAsia="zh-CN"/>
              </w:rPr>
              <w:t>GPU计算服务</w:t>
            </w:r>
          </w:p>
          <w:p w14:paraId="1B92975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1、要求</w:t>
            </w:r>
            <w:r>
              <w:rPr>
                <w:rFonts w:hint="eastAsia" w:ascii="宋体" w:hAnsi="宋体" w:eastAsia="宋体" w:cs="宋体"/>
                <w:sz w:val="24"/>
                <w:szCs w:val="24"/>
              </w:rPr>
              <w:t>图形GPU节点</w:t>
            </w:r>
            <w:r>
              <w:rPr>
                <w:rFonts w:hint="eastAsia" w:ascii="宋体" w:hAnsi="宋体" w:eastAsia="宋体" w:cs="宋体"/>
                <w:sz w:val="24"/>
                <w:szCs w:val="24"/>
                <w:lang w:val="en-US" w:eastAsia="zh-CN"/>
              </w:rPr>
              <w:t>≥2节点</w:t>
            </w:r>
          </w:p>
          <w:p w14:paraId="67CB9FFA">
            <w:pPr>
              <w:rPr>
                <w:rFonts w:hint="eastAsia" w:ascii="宋体" w:hAnsi="宋体" w:eastAsia="宋体" w:cs="宋体"/>
                <w:color w:val="000000"/>
                <w:kern w:val="0"/>
                <w:sz w:val="24"/>
                <w:szCs w:val="24"/>
                <w:highlight w:val="none"/>
              </w:rPr>
            </w:pPr>
            <w:r>
              <w:rPr>
                <w:rFonts w:hint="eastAsia" w:ascii="宋体" w:hAnsi="宋体" w:eastAsia="宋体" w:cs="宋体"/>
                <w:sz w:val="24"/>
                <w:szCs w:val="24"/>
                <w:lang w:val="en-US" w:eastAsia="zh-CN"/>
              </w:rPr>
              <w:t>2、要求</w:t>
            </w:r>
            <w:r>
              <w:rPr>
                <w:rFonts w:hint="eastAsia" w:ascii="宋体" w:hAnsi="宋体" w:eastAsia="宋体" w:cs="宋体"/>
                <w:sz w:val="24"/>
                <w:szCs w:val="24"/>
              </w:rPr>
              <w:t>GPU节点</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节点</w:t>
            </w:r>
          </w:p>
        </w:tc>
      </w:tr>
      <w:tr w14:paraId="0A9C91CD">
        <w:tblPrEx>
          <w:tblCellMar>
            <w:top w:w="0" w:type="dxa"/>
            <w:left w:w="108" w:type="dxa"/>
            <w:bottom w:w="0" w:type="dxa"/>
            <w:right w:w="108" w:type="dxa"/>
          </w:tblCellMar>
        </w:tblPrEx>
        <w:trPr>
          <w:trHeight w:val="300" w:hRule="atLeast"/>
          <w:jc w:val="center"/>
        </w:trPr>
        <w:tc>
          <w:tcPr>
            <w:tcW w:w="427" w:type="pct"/>
            <w:tcBorders>
              <w:top w:val="nil"/>
              <w:left w:val="single" w:color="auto" w:sz="4" w:space="0"/>
              <w:bottom w:val="single" w:color="auto" w:sz="4" w:space="0"/>
              <w:right w:val="single" w:color="auto" w:sz="4" w:space="0"/>
            </w:tcBorders>
            <w:vAlign w:val="center"/>
          </w:tcPr>
          <w:p w14:paraId="0B19CDA5">
            <w:pPr>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1066" w:type="pct"/>
            <w:tcBorders>
              <w:top w:val="nil"/>
              <w:left w:val="nil"/>
              <w:bottom w:val="single" w:color="auto" w:sz="4" w:space="0"/>
              <w:right w:val="single" w:color="auto" w:sz="4" w:space="0"/>
            </w:tcBorders>
            <w:vAlign w:val="center"/>
          </w:tcPr>
          <w:p w14:paraId="78DA2DB3">
            <w:pPr>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管理节点服务</w:t>
            </w:r>
          </w:p>
        </w:tc>
        <w:tc>
          <w:tcPr>
            <w:tcW w:w="315" w:type="pct"/>
            <w:tcBorders>
              <w:top w:val="nil"/>
              <w:left w:val="nil"/>
              <w:bottom w:val="single" w:color="auto" w:sz="4" w:space="0"/>
              <w:right w:val="single" w:color="auto" w:sz="4" w:space="0"/>
            </w:tcBorders>
            <w:vAlign w:val="center"/>
          </w:tcPr>
          <w:p w14:paraId="2DE37247">
            <w:pPr>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410" w:type="pct"/>
            <w:tcBorders>
              <w:top w:val="nil"/>
              <w:left w:val="nil"/>
              <w:bottom w:val="single" w:color="auto" w:sz="4" w:space="0"/>
              <w:right w:val="single" w:color="auto" w:sz="4" w:space="0"/>
            </w:tcBorders>
            <w:vAlign w:val="center"/>
          </w:tcPr>
          <w:p w14:paraId="095DC467">
            <w:pPr>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项</w:t>
            </w:r>
          </w:p>
        </w:tc>
        <w:tc>
          <w:tcPr>
            <w:tcW w:w="2779" w:type="pct"/>
            <w:tcBorders>
              <w:top w:val="nil"/>
              <w:left w:val="nil"/>
              <w:bottom w:val="single" w:color="auto" w:sz="4" w:space="0"/>
              <w:right w:val="single" w:color="auto" w:sz="4" w:space="0"/>
            </w:tcBorders>
            <w:vAlign w:val="center"/>
          </w:tcPr>
          <w:p w14:paraId="7F070C20">
            <w:pPr>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rPr>
              <w:t>提供</w:t>
            </w:r>
            <w:r>
              <w:rPr>
                <w:rFonts w:hint="eastAsia" w:ascii="宋体" w:hAnsi="宋体" w:eastAsia="宋体" w:cs="宋体"/>
                <w:b/>
                <w:bCs/>
                <w:color w:val="000000"/>
                <w:kern w:val="0"/>
                <w:sz w:val="24"/>
                <w:szCs w:val="24"/>
                <w:highlight w:val="none"/>
                <w:lang w:val="en-US" w:eastAsia="zh-CN"/>
              </w:rPr>
              <w:t>管理节点服务</w:t>
            </w:r>
          </w:p>
          <w:p w14:paraId="390123E6">
            <w:pPr>
              <w:rPr>
                <w:rFonts w:hint="eastAsia" w:ascii="宋体" w:hAnsi="宋体" w:eastAsia="宋体" w:cs="宋体"/>
                <w:color w:val="000000"/>
                <w:kern w:val="0"/>
                <w:sz w:val="24"/>
                <w:szCs w:val="24"/>
                <w:highlight w:val="none"/>
              </w:rPr>
            </w:pPr>
            <w:r>
              <w:rPr>
                <w:rFonts w:hint="eastAsia" w:ascii="宋体" w:hAnsi="宋体" w:eastAsia="宋体" w:cs="宋体"/>
                <w:sz w:val="24"/>
                <w:szCs w:val="24"/>
                <w:lang w:val="en-US" w:eastAsia="zh-CN"/>
              </w:rPr>
              <w:t>1、要求</w:t>
            </w:r>
            <w:r>
              <w:rPr>
                <w:rFonts w:hint="eastAsia" w:ascii="宋体" w:hAnsi="宋体" w:eastAsia="宋体" w:cs="宋体"/>
                <w:color w:val="000000"/>
                <w:kern w:val="0"/>
                <w:sz w:val="24"/>
                <w:szCs w:val="24"/>
                <w:highlight w:val="none"/>
                <w:lang w:val="en-US" w:eastAsia="zh-CN"/>
              </w:rPr>
              <w:t>管理节点</w:t>
            </w:r>
            <w:r>
              <w:rPr>
                <w:rFonts w:hint="eastAsia" w:ascii="宋体" w:hAnsi="宋体" w:eastAsia="宋体" w:cs="宋体"/>
                <w:sz w:val="24"/>
                <w:szCs w:val="24"/>
                <w:lang w:val="en-US" w:eastAsia="zh-CN"/>
              </w:rPr>
              <w:t>≥2节点</w:t>
            </w:r>
          </w:p>
        </w:tc>
      </w:tr>
      <w:tr w14:paraId="67906D1F">
        <w:tblPrEx>
          <w:tblCellMar>
            <w:top w:w="0" w:type="dxa"/>
            <w:left w:w="108" w:type="dxa"/>
            <w:bottom w:w="0" w:type="dxa"/>
            <w:right w:w="108" w:type="dxa"/>
          </w:tblCellMar>
        </w:tblPrEx>
        <w:trPr>
          <w:trHeight w:val="300" w:hRule="atLeast"/>
          <w:jc w:val="center"/>
        </w:trPr>
        <w:tc>
          <w:tcPr>
            <w:tcW w:w="427" w:type="pct"/>
            <w:tcBorders>
              <w:top w:val="nil"/>
              <w:left w:val="single" w:color="auto" w:sz="4" w:space="0"/>
              <w:bottom w:val="single" w:color="auto" w:sz="4" w:space="0"/>
              <w:right w:val="single" w:color="auto" w:sz="4" w:space="0"/>
            </w:tcBorders>
            <w:vAlign w:val="center"/>
          </w:tcPr>
          <w:p w14:paraId="56632797">
            <w:pPr>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c>
          <w:tcPr>
            <w:tcW w:w="1066" w:type="pct"/>
            <w:tcBorders>
              <w:top w:val="nil"/>
              <w:left w:val="nil"/>
              <w:bottom w:val="single" w:color="auto" w:sz="4" w:space="0"/>
              <w:right w:val="single" w:color="auto" w:sz="4" w:space="0"/>
            </w:tcBorders>
            <w:vAlign w:val="center"/>
          </w:tcPr>
          <w:p w14:paraId="32B0A4BC">
            <w:pPr>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存储系统服务</w:t>
            </w:r>
          </w:p>
        </w:tc>
        <w:tc>
          <w:tcPr>
            <w:tcW w:w="315" w:type="pct"/>
            <w:tcBorders>
              <w:top w:val="nil"/>
              <w:left w:val="nil"/>
              <w:bottom w:val="single" w:color="auto" w:sz="4" w:space="0"/>
              <w:right w:val="single" w:color="auto" w:sz="4" w:space="0"/>
            </w:tcBorders>
            <w:vAlign w:val="center"/>
          </w:tcPr>
          <w:p w14:paraId="791E05E5">
            <w:pPr>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3</w:t>
            </w:r>
          </w:p>
        </w:tc>
        <w:tc>
          <w:tcPr>
            <w:tcW w:w="410" w:type="pct"/>
            <w:tcBorders>
              <w:top w:val="nil"/>
              <w:left w:val="nil"/>
              <w:bottom w:val="single" w:color="auto" w:sz="4" w:space="0"/>
              <w:right w:val="single" w:color="auto" w:sz="4" w:space="0"/>
            </w:tcBorders>
            <w:vAlign w:val="center"/>
          </w:tcPr>
          <w:p w14:paraId="5DB83DC1">
            <w:pPr>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项</w:t>
            </w:r>
          </w:p>
        </w:tc>
        <w:tc>
          <w:tcPr>
            <w:tcW w:w="2779" w:type="pct"/>
            <w:tcBorders>
              <w:top w:val="nil"/>
              <w:left w:val="nil"/>
              <w:bottom w:val="single" w:color="auto" w:sz="4" w:space="0"/>
              <w:right w:val="single" w:color="auto" w:sz="4" w:space="0"/>
            </w:tcBorders>
            <w:vAlign w:val="center"/>
          </w:tcPr>
          <w:p w14:paraId="0F4432EA">
            <w:pPr>
              <w:rPr>
                <w:rFonts w:hint="eastAsia" w:ascii="宋体" w:hAnsi="宋体" w:eastAsia="宋体" w:cs="宋体"/>
                <w:b/>
                <w:bCs/>
                <w:sz w:val="24"/>
                <w:szCs w:val="24"/>
                <w:lang w:val="en-US" w:eastAsia="zh-CN"/>
              </w:rPr>
            </w:pPr>
            <w:r>
              <w:rPr>
                <w:rFonts w:hint="eastAsia" w:ascii="宋体" w:hAnsi="宋体" w:eastAsia="宋体" w:cs="宋体"/>
                <w:b/>
                <w:bCs/>
                <w:sz w:val="24"/>
                <w:szCs w:val="24"/>
              </w:rPr>
              <w:t>提供</w:t>
            </w:r>
            <w:r>
              <w:rPr>
                <w:rFonts w:hint="eastAsia" w:ascii="宋体" w:hAnsi="宋体" w:eastAsia="宋体" w:cs="宋体"/>
                <w:b/>
                <w:bCs/>
                <w:sz w:val="24"/>
                <w:szCs w:val="24"/>
                <w:lang w:val="en-US" w:eastAsia="zh-CN"/>
              </w:rPr>
              <w:t>存储系统服务</w:t>
            </w:r>
          </w:p>
          <w:p w14:paraId="1280B868">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1、要求集中式存储系统一套，可用容量≥</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00T</w:t>
            </w:r>
          </w:p>
          <w:p w14:paraId="5F627A7C">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2、要求一体化教学平台视频存储≥2节点</w:t>
            </w:r>
          </w:p>
          <w:p w14:paraId="79C47AB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3、要求</w:t>
            </w:r>
            <w:r>
              <w:rPr>
                <w:rFonts w:hint="eastAsia" w:ascii="宋体" w:hAnsi="宋体" w:cs="宋体"/>
                <w:sz w:val="24"/>
                <w:szCs w:val="24"/>
                <w:lang w:val="en-US" w:eastAsia="zh-CN"/>
              </w:rPr>
              <w:t>教学视频</w:t>
            </w:r>
            <w:r>
              <w:rPr>
                <w:rFonts w:hint="eastAsia" w:ascii="宋体" w:hAnsi="宋体" w:eastAsia="宋体" w:cs="宋体"/>
                <w:sz w:val="24"/>
                <w:szCs w:val="24"/>
                <w:lang w:val="en-US" w:eastAsia="zh-CN"/>
              </w:rPr>
              <w:t>存储</w:t>
            </w:r>
            <w:r>
              <w:rPr>
                <w:rFonts w:hint="eastAsia" w:ascii="宋体" w:hAnsi="宋体" w:cs="宋体"/>
                <w:sz w:val="24"/>
                <w:szCs w:val="24"/>
                <w:lang w:val="en-US" w:eastAsia="zh-CN"/>
              </w:rPr>
              <w:t>系统</w:t>
            </w:r>
            <w:r>
              <w:rPr>
                <w:rFonts w:hint="eastAsia" w:ascii="宋体" w:hAnsi="宋体" w:eastAsia="宋体" w:cs="宋体"/>
                <w:sz w:val="24"/>
                <w:szCs w:val="24"/>
                <w:lang w:val="en-US" w:eastAsia="zh-CN"/>
              </w:rPr>
              <w:t>扩容≥3节点</w:t>
            </w:r>
          </w:p>
        </w:tc>
      </w:tr>
      <w:tr w14:paraId="110244E1">
        <w:tblPrEx>
          <w:tblCellMar>
            <w:top w:w="0" w:type="dxa"/>
            <w:left w:w="108" w:type="dxa"/>
            <w:bottom w:w="0" w:type="dxa"/>
            <w:right w:w="108" w:type="dxa"/>
          </w:tblCellMar>
        </w:tblPrEx>
        <w:trPr>
          <w:trHeight w:val="600" w:hRule="atLeast"/>
          <w:jc w:val="center"/>
        </w:trPr>
        <w:tc>
          <w:tcPr>
            <w:tcW w:w="427" w:type="pct"/>
            <w:tcBorders>
              <w:top w:val="nil"/>
              <w:left w:val="single" w:color="auto" w:sz="4" w:space="0"/>
              <w:bottom w:val="single" w:color="auto" w:sz="4" w:space="0"/>
              <w:right w:val="single" w:color="auto" w:sz="4" w:space="0"/>
            </w:tcBorders>
            <w:vAlign w:val="center"/>
          </w:tcPr>
          <w:p w14:paraId="6FC1213C">
            <w:pPr>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c>
          <w:tcPr>
            <w:tcW w:w="1066" w:type="pct"/>
            <w:tcBorders>
              <w:top w:val="nil"/>
              <w:left w:val="nil"/>
              <w:bottom w:val="single" w:color="auto" w:sz="4" w:space="0"/>
              <w:right w:val="single" w:color="auto" w:sz="4" w:space="0"/>
            </w:tcBorders>
            <w:vAlign w:val="center"/>
          </w:tcPr>
          <w:p w14:paraId="5A09D7D0">
            <w:pPr>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网络系统服务</w:t>
            </w:r>
          </w:p>
        </w:tc>
        <w:tc>
          <w:tcPr>
            <w:tcW w:w="315" w:type="pct"/>
            <w:tcBorders>
              <w:top w:val="nil"/>
              <w:left w:val="nil"/>
              <w:bottom w:val="single" w:color="auto" w:sz="4" w:space="0"/>
              <w:right w:val="single" w:color="auto" w:sz="4" w:space="0"/>
            </w:tcBorders>
            <w:vAlign w:val="center"/>
          </w:tcPr>
          <w:p w14:paraId="4573284D">
            <w:pPr>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3</w:t>
            </w:r>
          </w:p>
        </w:tc>
        <w:tc>
          <w:tcPr>
            <w:tcW w:w="410" w:type="pct"/>
            <w:tcBorders>
              <w:top w:val="nil"/>
              <w:left w:val="nil"/>
              <w:bottom w:val="single" w:color="auto" w:sz="4" w:space="0"/>
              <w:right w:val="single" w:color="auto" w:sz="4" w:space="0"/>
            </w:tcBorders>
            <w:vAlign w:val="center"/>
          </w:tcPr>
          <w:p w14:paraId="139A464C">
            <w:pPr>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项</w:t>
            </w:r>
          </w:p>
        </w:tc>
        <w:tc>
          <w:tcPr>
            <w:tcW w:w="2779" w:type="pct"/>
            <w:tcBorders>
              <w:top w:val="nil"/>
              <w:left w:val="nil"/>
              <w:bottom w:val="single" w:color="auto" w:sz="4" w:space="0"/>
              <w:right w:val="single" w:color="auto" w:sz="4" w:space="0"/>
            </w:tcBorders>
            <w:vAlign w:val="center"/>
          </w:tcPr>
          <w:p w14:paraId="5FE2D2BA">
            <w:pPr>
              <w:rPr>
                <w:rFonts w:hint="eastAsia" w:ascii="宋体" w:hAnsi="宋体" w:eastAsia="宋体" w:cs="宋体"/>
                <w:b/>
                <w:bCs/>
                <w:sz w:val="24"/>
                <w:szCs w:val="24"/>
                <w:lang w:val="en-US" w:eastAsia="zh-CN"/>
              </w:rPr>
            </w:pPr>
            <w:r>
              <w:rPr>
                <w:rFonts w:hint="eastAsia" w:ascii="宋体" w:hAnsi="宋体" w:eastAsia="宋体" w:cs="宋体"/>
                <w:b/>
                <w:bCs/>
                <w:sz w:val="24"/>
                <w:szCs w:val="24"/>
              </w:rPr>
              <w:t>提供</w:t>
            </w:r>
            <w:r>
              <w:rPr>
                <w:rFonts w:hint="eastAsia" w:ascii="宋体" w:hAnsi="宋体" w:eastAsia="宋体" w:cs="宋体"/>
                <w:b/>
                <w:bCs/>
                <w:sz w:val="24"/>
                <w:szCs w:val="24"/>
                <w:lang w:val="en-US" w:eastAsia="zh-CN"/>
              </w:rPr>
              <w:t>网络系统服务</w:t>
            </w:r>
          </w:p>
          <w:p w14:paraId="0A64BE9F">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1、要求</w:t>
            </w:r>
            <w:r>
              <w:rPr>
                <w:rFonts w:hint="eastAsia" w:ascii="宋体" w:hAnsi="宋体" w:cs="宋体"/>
                <w:sz w:val="24"/>
                <w:szCs w:val="24"/>
                <w:lang w:val="en-US" w:eastAsia="zh-CN"/>
              </w:rPr>
              <w:t>提供独立的</w:t>
            </w:r>
            <w:r>
              <w:rPr>
                <w:rFonts w:hint="eastAsia" w:ascii="宋体" w:hAnsi="宋体" w:eastAsia="宋体" w:cs="宋体"/>
                <w:sz w:val="24"/>
                <w:szCs w:val="24"/>
                <w:lang w:val="en-US" w:eastAsia="zh-CN"/>
              </w:rPr>
              <w:t>存储网络</w:t>
            </w:r>
          </w:p>
          <w:p w14:paraId="4D2C485A">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2、要求</w:t>
            </w:r>
            <w:r>
              <w:rPr>
                <w:rFonts w:hint="eastAsia" w:ascii="宋体" w:hAnsi="宋体" w:cs="宋体"/>
                <w:sz w:val="24"/>
                <w:szCs w:val="24"/>
                <w:lang w:val="en-US" w:eastAsia="zh-CN"/>
              </w:rPr>
              <w:t>提供独立的</w:t>
            </w:r>
            <w:r>
              <w:rPr>
                <w:rFonts w:hint="eastAsia" w:ascii="宋体" w:hAnsi="宋体" w:eastAsia="宋体" w:cs="宋体"/>
                <w:sz w:val="24"/>
                <w:szCs w:val="24"/>
                <w:lang w:val="en-US" w:eastAsia="zh-CN"/>
              </w:rPr>
              <w:t>业务网络</w:t>
            </w:r>
          </w:p>
          <w:p w14:paraId="58B63308">
            <w:pPr>
              <w:rPr>
                <w:rFonts w:hint="eastAsia" w:ascii="宋体" w:hAnsi="宋体" w:eastAsia="宋体" w:cs="宋体"/>
                <w:color w:val="000000"/>
                <w:kern w:val="0"/>
                <w:sz w:val="24"/>
                <w:szCs w:val="24"/>
                <w:highlight w:val="none"/>
                <w:lang w:val="en-US"/>
              </w:rPr>
            </w:pPr>
            <w:r>
              <w:rPr>
                <w:rFonts w:hint="eastAsia" w:ascii="宋体" w:hAnsi="宋体" w:eastAsia="宋体" w:cs="宋体"/>
                <w:sz w:val="24"/>
                <w:szCs w:val="24"/>
                <w:lang w:val="en-US" w:eastAsia="zh-CN"/>
              </w:rPr>
              <w:t>3、要求</w:t>
            </w:r>
            <w:r>
              <w:rPr>
                <w:rFonts w:hint="eastAsia" w:ascii="宋体" w:hAnsi="宋体" w:cs="宋体"/>
                <w:sz w:val="24"/>
                <w:szCs w:val="24"/>
                <w:lang w:val="en-US" w:eastAsia="zh-CN"/>
              </w:rPr>
              <w:t>提供独立的</w:t>
            </w:r>
            <w:r>
              <w:rPr>
                <w:rFonts w:hint="eastAsia" w:ascii="宋体" w:hAnsi="宋体" w:eastAsia="宋体" w:cs="宋体"/>
                <w:sz w:val="24"/>
                <w:szCs w:val="24"/>
                <w:lang w:val="en-US" w:eastAsia="zh-CN"/>
              </w:rPr>
              <w:t>管理网络</w:t>
            </w:r>
          </w:p>
        </w:tc>
      </w:tr>
      <w:tr w14:paraId="16904A17">
        <w:tblPrEx>
          <w:tblCellMar>
            <w:top w:w="0" w:type="dxa"/>
            <w:left w:w="108" w:type="dxa"/>
            <w:bottom w:w="0" w:type="dxa"/>
            <w:right w:w="108" w:type="dxa"/>
          </w:tblCellMar>
        </w:tblPrEx>
        <w:trPr>
          <w:trHeight w:val="600" w:hRule="atLeast"/>
          <w:jc w:val="center"/>
        </w:trPr>
        <w:tc>
          <w:tcPr>
            <w:tcW w:w="427" w:type="pct"/>
            <w:tcBorders>
              <w:top w:val="nil"/>
              <w:left w:val="single" w:color="auto" w:sz="4" w:space="0"/>
              <w:bottom w:val="single" w:color="auto" w:sz="4" w:space="0"/>
              <w:right w:val="single" w:color="auto" w:sz="4" w:space="0"/>
            </w:tcBorders>
            <w:vAlign w:val="center"/>
          </w:tcPr>
          <w:p w14:paraId="6800FAFD">
            <w:pPr>
              <w:jc w:val="center"/>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6</w:t>
            </w:r>
          </w:p>
        </w:tc>
        <w:tc>
          <w:tcPr>
            <w:tcW w:w="1066" w:type="pct"/>
            <w:tcBorders>
              <w:top w:val="nil"/>
              <w:left w:val="nil"/>
              <w:bottom w:val="single" w:color="auto" w:sz="4" w:space="0"/>
              <w:right w:val="single" w:color="auto" w:sz="4" w:space="0"/>
            </w:tcBorders>
            <w:vAlign w:val="center"/>
          </w:tcPr>
          <w:p w14:paraId="111CA98E">
            <w:pPr>
              <w:jc w:val="left"/>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网络安全服务</w:t>
            </w:r>
          </w:p>
        </w:tc>
        <w:tc>
          <w:tcPr>
            <w:tcW w:w="315" w:type="pct"/>
            <w:tcBorders>
              <w:top w:val="nil"/>
              <w:left w:val="nil"/>
              <w:bottom w:val="single" w:color="auto" w:sz="4" w:space="0"/>
              <w:right w:val="single" w:color="auto" w:sz="4" w:space="0"/>
            </w:tcBorders>
            <w:vAlign w:val="center"/>
          </w:tcPr>
          <w:p w14:paraId="54FFFD27">
            <w:pPr>
              <w:jc w:val="center"/>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w:t>
            </w:r>
          </w:p>
        </w:tc>
        <w:tc>
          <w:tcPr>
            <w:tcW w:w="410" w:type="pct"/>
            <w:tcBorders>
              <w:top w:val="nil"/>
              <w:left w:val="nil"/>
              <w:bottom w:val="single" w:color="auto" w:sz="4" w:space="0"/>
              <w:right w:val="single" w:color="auto" w:sz="4" w:space="0"/>
            </w:tcBorders>
            <w:vAlign w:val="center"/>
          </w:tcPr>
          <w:p w14:paraId="0771D1CD">
            <w:pPr>
              <w:jc w:val="center"/>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项</w:t>
            </w:r>
          </w:p>
        </w:tc>
        <w:tc>
          <w:tcPr>
            <w:tcW w:w="2779" w:type="pct"/>
            <w:tcBorders>
              <w:top w:val="nil"/>
              <w:left w:val="nil"/>
              <w:bottom w:val="single" w:color="auto" w:sz="4" w:space="0"/>
              <w:right w:val="single" w:color="auto" w:sz="4" w:space="0"/>
            </w:tcBorders>
            <w:vAlign w:val="center"/>
          </w:tcPr>
          <w:p w14:paraId="284DF6D8">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提供网络安全服务</w:t>
            </w:r>
          </w:p>
          <w:p w14:paraId="48F603A4">
            <w:pPr>
              <w:pStyle w:val="2"/>
              <w:ind w:left="0" w:leftChars="0" w:firstLine="0" w:firstLineChars="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要求提供综合安全出口网关1套</w:t>
            </w:r>
          </w:p>
        </w:tc>
      </w:tr>
      <w:tr w14:paraId="6DF55800">
        <w:tblPrEx>
          <w:tblCellMar>
            <w:top w:w="0" w:type="dxa"/>
            <w:left w:w="108" w:type="dxa"/>
            <w:bottom w:w="0" w:type="dxa"/>
            <w:right w:w="108" w:type="dxa"/>
          </w:tblCellMar>
        </w:tblPrEx>
        <w:trPr>
          <w:trHeight w:val="300" w:hRule="atLeast"/>
          <w:jc w:val="center"/>
        </w:trPr>
        <w:tc>
          <w:tcPr>
            <w:tcW w:w="427" w:type="pct"/>
            <w:tcBorders>
              <w:top w:val="nil"/>
              <w:left w:val="single" w:color="auto" w:sz="4" w:space="0"/>
              <w:bottom w:val="single" w:color="auto" w:sz="4" w:space="0"/>
              <w:right w:val="single" w:color="auto" w:sz="4" w:space="0"/>
            </w:tcBorders>
            <w:vAlign w:val="center"/>
          </w:tcPr>
          <w:p w14:paraId="5CBA9B26">
            <w:pPr>
              <w:jc w:val="center"/>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val="en-US" w:eastAsia="zh-CN"/>
              </w:rPr>
              <w:t>7</w:t>
            </w:r>
          </w:p>
        </w:tc>
        <w:tc>
          <w:tcPr>
            <w:tcW w:w="1066" w:type="pct"/>
            <w:tcBorders>
              <w:top w:val="nil"/>
              <w:left w:val="nil"/>
              <w:bottom w:val="single" w:color="auto" w:sz="4" w:space="0"/>
              <w:right w:val="single" w:color="auto" w:sz="4" w:space="0"/>
            </w:tcBorders>
            <w:vAlign w:val="center"/>
          </w:tcPr>
          <w:p w14:paraId="21303302">
            <w:pPr>
              <w:jc w:val="left"/>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配套</w:t>
            </w:r>
            <w:r>
              <w:rPr>
                <w:rFonts w:hint="eastAsia" w:ascii="宋体" w:hAnsi="宋体" w:eastAsia="宋体" w:cs="宋体"/>
                <w:color w:val="000000"/>
                <w:kern w:val="0"/>
                <w:sz w:val="24"/>
                <w:szCs w:val="24"/>
                <w:highlight w:val="none"/>
                <w:lang w:val="en-US" w:eastAsia="zh-CN"/>
              </w:rPr>
              <w:t>软件服务</w:t>
            </w:r>
          </w:p>
        </w:tc>
        <w:tc>
          <w:tcPr>
            <w:tcW w:w="315" w:type="pct"/>
            <w:tcBorders>
              <w:top w:val="nil"/>
              <w:left w:val="nil"/>
              <w:bottom w:val="single" w:color="auto" w:sz="4" w:space="0"/>
              <w:right w:val="single" w:color="auto" w:sz="4" w:space="0"/>
            </w:tcBorders>
            <w:vAlign w:val="center"/>
          </w:tcPr>
          <w:p w14:paraId="195D16F4">
            <w:pPr>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2</w:t>
            </w:r>
          </w:p>
        </w:tc>
        <w:tc>
          <w:tcPr>
            <w:tcW w:w="410" w:type="pct"/>
            <w:tcBorders>
              <w:top w:val="nil"/>
              <w:left w:val="nil"/>
              <w:bottom w:val="single" w:color="auto" w:sz="4" w:space="0"/>
              <w:right w:val="single" w:color="auto" w:sz="4" w:space="0"/>
            </w:tcBorders>
            <w:vAlign w:val="center"/>
          </w:tcPr>
          <w:p w14:paraId="0B98AEA0">
            <w:pPr>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项</w:t>
            </w:r>
          </w:p>
        </w:tc>
        <w:tc>
          <w:tcPr>
            <w:tcW w:w="2779" w:type="pct"/>
            <w:tcBorders>
              <w:top w:val="nil"/>
              <w:left w:val="nil"/>
              <w:bottom w:val="single" w:color="auto" w:sz="4" w:space="0"/>
              <w:right w:val="single" w:color="auto" w:sz="4" w:space="0"/>
            </w:tcBorders>
            <w:vAlign w:val="center"/>
          </w:tcPr>
          <w:p w14:paraId="5724CD35">
            <w:pPr>
              <w:rPr>
                <w:rFonts w:hint="eastAsia" w:ascii="宋体" w:hAnsi="宋体" w:eastAsia="宋体" w:cs="宋体"/>
                <w:b/>
                <w:bCs/>
                <w:sz w:val="24"/>
                <w:szCs w:val="24"/>
                <w:lang w:val="en-US" w:eastAsia="zh-CN"/>
              </w:rPr>
            </w:pPr>
            <w:r>
              <w:rPr>
                <w:rFonts w:hint="eastAsia" w:ascii="宋体" w:hAnsi="宋体" w:eastAsia="宋体" w:cs="宋体"/>
                <w:b/>
                <w:bCs/>
                <w:sz w:val="24"/>
                <w:szCs w:val="24"/>
              </w:rPr>
              <w:t>提供</w:t>
            </w:r>
            <w:r>
              <w:rPr>
                <w:rFonts w:hint="eastAsia" w:ascii="宋体" w:hAnsi="宋体" w:cs="宋体"/>
                <w:b/>
                <w:bCs/>
                <w:sz w:val="24"/>
                <w:szCs w:val="24"/>
                <w:lang w:val="en-US" w:eastAsia="zh-CN"/>
              </w:rPr>
              <w:t>配套</w:t>
            </w:r>
            <w:r>
              <w:rPr>
                <w:rFonts w:hint="eastAsia" w:ascii="宋体" w:hAnsi="宋体" w:eastAsia="宋体" w:cs="宋体"/>
                <w:b/>
                <w:bCs/>
                <w:sz w:val="24"/>
                <w:szCs w:val="24"/>
                <w:lang w:val="en-US" w:eastAsia="zh-CN"/>
              </w:rPr>
              <w:t>软件服务</w:t>
            </w:r>
          </w:p>
          <w:p w14:paraId="0D2A7EB8">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1、要求</w:t>
            </w:r>
            <w:r>
              <w:rPr>
                <w:rFonts w:hint="eastAsia" w:ascii="宋体" w:hAnsi="宋体" w:cs="宋体"/>
                <w:sz w:val="24"/>
                <w:szCs w:val="24"/>
                <w:lang w:val="en-US" w:eastAsia="zh-CN"/>
              </w:rPr>
              <w:t>提供</w:t>
            </w:r>
            <w:r>
              <w:rPr>
                <w:rFonts w:hint="eastAsia" w:ascii="宋体" w:hAnsi="宋体" w:eastAsia="宋体" w:cs="宋体"/>
                <w:sz w:val="24"/>
                <w:szCs w:val="24"/>
                <w:lang w:val="en-US" w:eastAsia="zh-CN"/>
              </w:rPr>
              <w:t>虚拟化软件（服务器虚拟化软件）</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套</w:t>
            </w:r>
          </w:p>
          <w:p w14:paraId="2E7897F9">
            <w:pPr>
              <w:rPr>
                <w:rFonts w:hint="eastAsia" w:ascii="宋体" w:hAnsi="宋体" w:eastAsia="宋体" w:cs="宋体"/>
                <w:color w:val="000000"/>
                <w:kern w:val="0"/>
                <w:sz w:val="24"/>
                <w:szCs w:val="24"/>
                <w:highlight w:val="none"/>
                <w:lang w:val="en-US"/>
              </w:rPr>
            </w:pPr>
            <w:r>
              <w:rPr>
                <w:rFonts w:hint="eastAsia" w:ascii="宋体" w:hAnsi="宋体" w:eastAsia="宋体" w:cs="宋体"/>
                <w:sz w:val="24"/>
                <w:szCs w:val="24"/>
                <w:lang w:val="en-US" w:eastAsia="zh-CN"/>
              </w:rPr>
              <w:t>2、要求</w:t>
            </w:r>
            <w:r>
              <w:rPr>
                <w:rFonts w:hint="eastAsia" w:ascii="宋体" w:hAnsi="宋体" w:cs="宋体"/>
                <w:sz w:val="24"/>
                <w:szCs w:val="24"/>
                <w:lang w:val="en-US" w:eastAsia="zh-CN"/>
              </w:rPr>
              <w:t>提供</w:t>
            </w:r>
            <w:r>
              <w:rPr>
                <w:rFonts w:hint="eastAsia" w:ascii="宋体" w:hAnsi="宋体" w:eastAsia="宋体" w:cs="宋体"/>
                <w:sz w:val="24"/>
                <w:szCs w:val="24"/>
                <w:lang w:val="en-US" w:eastAsia="zh-CN"/>
              </w:rPr>
              <w:t>集群管理软件（集群监控、作业调度）</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套</w:t>
            </w:r>
          </w:p>
        </w:tc>
      </w:tr>
      <w:tr w14:paraId="5C89319E">
        <w:tblPrEx>
          <w:tblCellMar>
            <w:top w:w="0" w:type="dxa"/>
            <w:left w:w="108" w:type="dxa"/>
            <w:bottom w:w="0" w:type="dxa"/>
            <w:right w:w="108" w:type="dxa"/>
          </w:tblCellMar>
        </w:tblPrEx>
        <w:trPr>
          <w:trHeight w:val="300" w:hRule="atLeast"/>
          <w:jc w:val="center"/>
        </w:trPr>
        <w:tc>
          <w:tcPr>
            <w:tcW w:w="427" w:type="pct"/>
            <w:tcBorders>
              <w:top w:val="nil"/>
              <w:left w:val="single" w:color="auto" w:sz="4" w:space="0"/>
              <w:bottom w:val="single" w:color="auto" w:sz="4" w:space="0"/>
              <w:right w:val="single" w:color="auto" w:sz="4" w:space="0"/>
            </w:tcBorders>
            <w:vAlign w:val="center"/>
          </w:tcPr>
          <w:p w14:paraId="5250FBCA">
            <w:pPr>
              <w:jc w:val="center"/>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val="en-US" w:eastAsia="zh-CN"/>
              </w:rPr>
              <w:t>8</w:t>
            </w:r>
          </w:p>
        </w:tc>
        <w:tc>
          <w:tcPr>
            <w:tcW w:w="1066" w:type="pct"/>
            <w:tcBorders>
              <w:top w:val="nil"/>
              <w:left w:val="nil"/>
              <w:bottom w:val="single" w:color="auto" w:sz="4" w:space="0"/>
              <w:right w:val="single" w:color="auto" w:sz="4" w:space="0"/>
            </w:tcBorders>
            <w:vAlign w:val="center"/>
          </w:tcPr>
          <w:p w14:paraId="7F1D693F">
            <w:pPr>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运行维护服务</w:t>
            </w:r>
          </w:p>
        </w:tc>
        <w:tc>
          <w:tcPr>
            <w:tcW w:w="315" w:type="pct"/>
            <w:tcBorders>
              <w:top w:val="nil"/>
              <w:left w:val="nil"/>
              <w:bottom w:val="single" w:color="auto" w:sz="4" w:space="0"/>
              <w:right w:val="single" w:color="auto" w:sz="4" w:space="0"/>
            </w:tcBorders>
            <w:vAlign w:val="center"/>
          </w:tcPr>
          <w:p w14:paraId="5017C4D1">
            <w:pPr>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410" w:type="pct"/>
            <w:tcBorders>
              <w:top w:val="nil"/>
              <w:left w:val="nil"/>
              <w:bottom w:val="single" w:color="auto" w:sz="4" w:space="0"/>
              <w:right w:val="single" w:color="auto" w:sz="4" w:space="0"/>
            </w:tcBorders>
            <w:vAlign w:val="center"/>
          </w:tcPr>
          <w:p w14:paraId="775E32CE">
            <w:pPr>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项</w:t>
            </w:r>
          </w:p>
        </w:tc>
        <w:tc>
          <w:tcPr>
            <w:tcW w:w="2779" w:type="pct"/>
            <w:tcBorders>
              <w:top w:val="nil"/>
              <w:left w:val="nil"/>
              <w:bottom w:val="single" w:color="auto" w:sz="4" w:space="0"/>
              <w:right w:val="single" w:color="auto" w:sz="4" w:space="0"/>
            </w:tcBorders>
            <w:vAlign w:val="center"/>
          </w:tcPr>
          <w:p w14:paraId="42C362F6">
            <w:pPr>
              <w:rPr>
                <w:rFonts w:hint="eastAsia" w:ascii="宋体" w:hAnsi="宋体" w:eastAsia="宋体" w:cs="宋体"/>
                <w:color w:val="000000"/>
                <w:kern w:val="0"/>
                <w:sz w:val="24"/>
                <w:szCs w:val="24"/>
                <w:highlight w:val="none"/>
                <w:lang w:val="en-US"/>
              </w:rPr>
            </w:pPr>
            <w:r>
              <w:rPr>
                <w:rFonts w:hint="eastAsia" w:ascii="宋体" w:hAnsi="宋体" w:eastAsia="宋体" w:cs="宋体"/>
                <w:sz w:val="24"/>
                <w:szCs w:val="24"/>
                <w:lang w:val="en-US" w:eastAsia="zh-CN"/>
              </w:rPr>
              <w:t>要求</w:t>
            </w:r>
            <w:r>
              <w:rPr>
                <w:rFonts w:hint="eastAsia" w:ascii="宋体" w:hAnsi="宋体" w:eastAsia="宋体" w:cs="宋体"/>
                <w:sz w:val="24"/>
                <w:szCs w:val="24"/>
              </w:rPr>
              <w:t>提供</w:t>
            </w:r>
            <w:r>
              <w:rPr>
                <w:rFonts w:hint="eastAsia" w:ascii="宋体" w:hAnsi="宋体" w:eastAsia="宋体" w:cs="宋体"/>
                <w:sz w:val="24"/>
                <w:szCs w:val="24"/>
                <w:lang w:val="en-US" w:eastAsia="zh-CN"/>
              </w:rPr>
              <w:t>5年运行维护服务、技术支撑服务</w:t>
            </w:r>
          </w:p>
        </w:tc>
      </w:tr>
    </w:tbl>
    <w:p w14:paraId="41C5A733">
      <w:pPr>
        <w:pStyle w:val="6"/>
        <w:keepNext w:val="0"/>
        <w:keepLines w:val="0"/>
        <w:pageBreakBefore w:val="0"/>
        <w:widowControl w:val="0"/>
        <w:kinsoku/>
        <w:wordWrap/>
        <w:overflowPunct/>
        <w:topLinePunct w:val="0"/>
        <w:autoSpaceDE/>
        <w:autoSpaceDN/>
        <w:bidi w:val="0"/>
        <w:adjustRightInd/>
        <w:snapToGrid/>
        <w:spacing w:before="0" w:after="0" w:line="240" w:lineRule="auto"/>
        <w:ind w:left="578" w:hanging="578"/>
        <w:textAlignment w:val="auto"/>
        <w:rPr>
          <w:rFonts w:hint="eastAsia" w:ascii="宋体" w:hAnsi="宋体" w:eastAsia="宋体" w:cs="宋体"/>
          <w:color w:val="000000"/>
          <w:sz w:val="28"/>
          <w:szCs w:val="28"/>
          <w:highlight w:val="none"/>
          <w:lang w:val="en-US" w:eastAsia="zh-CN"/>
        </w:rPr>
      </w:pPr>
      <w:bookmarkStart w:id="0" w:name="_Toc494561955"/>
      <w:bookmarkStart w:id="1" w:name="_Toc511889433"/>
      <w:bookmarkStart w:id="2" w:name="_Toc511894511"/>
      <w:bookmarkStart w:id="3" w:name="_Toc517859652"/>
      <w:r>
        <w:rPr>
          <w:rFonts w:hint="eastAsia" w:ascii="宋体" w:hAnsi="宋体" w:eastAsia="宋体" w:cs="宋体"/>
          <w:color w:val="000000"/>
          <w:sz w:val="28"/>
          <w:szCs w:val="28"/>
          <w:highlight w:val="none"/>
          <w:lang w:val="en-US" w:eastAsia="zh-CN"/>
        </w:rPr>
        <w:t>技术服务要求</w:t>
      </w:r>
      <w:bookmarkEnd w:id="0"/>
      <w:bookmarkEnd w:id="1"/>
      <w:bookmarkEnd w:id="2"/>
      <w:bookmarkEnd w:id="3"/>
    </w:p>
    <w:p w14:paraId="31A1D9A4">
      <w:pPr>
        <w:pStyle w:val="7"/>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宋体" w:hAnsi="宋体"/>
          <w:sz w:val="24"/>
          <w:szCs w:val="24"/>
          <w:highlight w:val="none"/>
          <w:lang w:val="en-US" w:eastAsia="zh-CN"/>
        </w:rPr>
      </w:pPr>
      <w:r>
        <w:rPr>
          <w:rFonts w:hint="eastAsia" w:ascii="宋体" w:hAnsi="宋体"/>
          <w:sz w:val="24"/>
          <w:szCs w:val="24"/>
          <w:highlight w:val="none"/>
          <w:lang w:val="en-US" w:eastAsia="zh-CN"/>
        </w:rPr>
        <w:t>总体要求</w:t>
      </w:r>
    </w:p>
    <w:p w14:paraId="6B42F16D">
      <w:pPr>
        <w:pStyle w:val="10"/>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b w:val="0"/>
          <w:bCs w:val="0"/>
          <w:sz w:val="24"/>
          <w:szCs w:val="24"/>
          <w:highlight w:val="none"/>
          <w:lang w:val="en-US" w:eastAsia="zh-CN"/>
        </w:rPr>
      </w:pPr>
      <w:r>
        <w:rPr>
          <w:rFonts w:hint="eastAsia"/>
          <w:b w:val="0"/>
          <w:bCs w:val="0"/>
          <w:sz w:val="24"/>
          <w:szCs w:val="24"/>
          <w:highlight w:val="none"/>
          <w:lang w:val="en-US" w:eastAsia="zh-CN"/>
        </w:rPr>
        <w:t>技术服务要求内容皆属实质性条款，供应商的响应务必完全满足或者呈现正向偏离；</w:t>
      </w:r>
    </w:p>
    <w:p w14:paraId="3C7F1A21">
      <w:pPr>
        <w:pStyle w:val="10"/>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b w:val="0"/>
          <w:bCs w:val="0"/>
          <w:sz w:val="24"/>
          <w:szCs w:val="24"/>
          <w:highlight w:val="none"/>
          <w:lang w:val="en-US" w:eastAsia="zh-CN"/>
        </w:rPr>
      </w:pPr>
      <w:r>
        <w:rPr>
          <w:rFonts w:hint="eastAsia"/>
          <w:b w:val="0"/>
          <w:bCs w:val="0"/>
          <w:sz w:val="24"/>
          <w:szCs w:val="24"/>
          <w:highlight w:val="none"/>
          <w:lang w:val="en-US" w:eastAsia="zh-CN"/>
        </w:rPr>
        <w:t>技术服务要求所需要的计算环境、存储环境、网络环境等须与安徽信息工程学院内部已部署资源及应用实现无缝对接，所有对接产生费用由投标单位承担；</w:t>
      </w:r>
    </w:p>
    <w:p w14:paraId="20E2143D">
      <w:pPr>
        <w:pStyle w:val="10"/>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b w:val="0"/>
          <w:bCs w:val="0"/>
          <w:sz w:val="24"/>
          <w:szCs w:val="24"/>
          <w:highlight w:val="none"/>
          <w:lang w:val="en-US" w:eastAsia="zh-CN"/>
        </w:rPr>
      </w:pPr>
      <w:r>
        <w:rPr>
          <w:rFonts w:hint="eastAsia"/>
          <w:b w:val="0"/>
          <w:bCs w:val="0"/>
          <w:sz w:val="24"/>
          <w:szCs w:val="24"/>
          <w:highlight w:val="none"/>
          <w:lang w:val="en-US" w:eastAsia="zh-CN"/>
        </w:rPr>
        <w:t>技术服务要求的资源为安徽信息工程学院专属资源，未经允许不可与其他单位公用、共用。</w:t>
      </w:r>
    </w:p>
    <w:p w14:paraId="7323C02D">
      <w:pPr>
        <w:pStyle w:val="7"/>
        <w:keepNext/>
        <w:keepLines/>
        <w:pageBreakBefore w:val="0"/>
        <w:widowControl w:val="0"/>
        <w:kinsoku/>
        <w:wordWrap/>
        <w:overflowPunct/>
        <w:topLinePunct w:val="0"/>
        <w:autoSpaceDE/>
        <w:autoSpaceDN/>
        <w:bidi w:val="0"/>
        <w:adjustRightInd/>
        <w:snapToGrid/>
        <w:spacing w:before="0" w:after="0" w:line="360" w:lineRule="auto"/>
        <w:textAlignment w:val="auto"/>
        <w:rPr>
          <w:rFonts w:ascii="宋体" w:hAnsi="宋体"/>
          <w:sz w:val="24"/>
          <w:szCs w:val="24"/>
          <w:highlight w:val="none"/>
        </w:rPr>
      </w:pPr>
      <w:r>
        <w:rPr>
          <w:rFonts w:hint="eastAsia" w:ascii="宋体" w:hAnsi="宋体"/>
          <w:sz w:val="24"/>
          <w:szCs w:val="24"/>
          <w:highlight w:val="none"/>
          <w:lang w:val="en-US" w:eastAsia="zh-CN"/>
        </w:rPr>
        <w:t>CPU</w:t>
      </w:r>
      <w:r>
        <w:rPr>
          <w:rFonts w:hint="eastAsia" w:ascii="宋体" w:hAnsi="宋体"/>
          <w:sz w:val="24"/>
          <w:szCs w:val="24"/>
          <w:highlight w:val="none"/>
        </w:rPr>
        <w:t>计算资源</w:t>
      </w:r>
      <w:r>
        <w:rPr>
          <w:rFonts w:hint="eastAsia" w:ascii="宋体" w:hAnsi="宋体"/>
          <w:sz w:val="24"/>
          <w:szCs w:val="24"/>
          <w:highlight w:val="none"/>
          <w:lang w:val="en-US" w:eastAsia="zh-CN"/>
        </w:rPr>
        <w:t>服务</w:t>
      </w:r>
      <w:r>
        <w:rPr>
          <w:rFonts w:hint="eastAsia" w:ascii="宋体" w:hAnsi="宋体"/>
          <w:sz w:val="24"/>
          <w:szCs w:val="24"/>
          <w:highlight w:val="none"/>
        </w:rPr>
        <w:t>要求</w:t>
      </w:r>
    </w:p>
    <w:p w14:paraId="567DB54E">
      <w:pPr>
        <w:pStyle w:val="10"/>
        <w:spacing w:line="360" w:lineRule="auto"/>
        <w:ind w:firstLine="420"/>
        <w:rPr>
          <w:rFonts w:hint="eastAsia"/>
          <w:sz w:val="24"/>
          <w:szCs w:val="24"/>
          <w:highlight w:val="none"/>
        </w:rPr>
      </w:pPr>
      <w:r>
        <w:rPr>
          <w:rFonts w:hint="eastAsia"/>
          <w:sz w:val="24"/>
          <w:szCs w:val="24"/>
          <w:highlight w:val="none"/>
          <w:lang w:val="en-US" w:eastAsia="zh-CN"/>
        </w:rPr>
        <w:t>CPU计算</w:t>
      </w:r>
      <w:r>
        <w:rPr>
          <w:rFonts w:hint="eastAsia"/>
          <w:sz w:val="24"/>
          <w:szCs w:val="24"/>
          <w:highlight w:val="none"/>
        </w:rPr>
        <w:t>资源性能要求不得低于以下标准：</w:t>
      </w:r>
    </w:p>
    <w:p w14:paraId="06621E4D">
      <w:pPr>
        <w:pStyle w:val="10"/>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sz w:val="24"/>
          <w:szCs w:val="24"/>
          <w:highlight w:val="none"/>
          <w:lang w:val="en-US" w:eastAsia="zh-CN"/>
        </w:rPr>
      </w:pPr>
      <w:r>
        <w:rPr>
          <w:rFonts w:hint="eastAsia"/>
          <w:b/>
          <w:bCs/>
          <w:sz w:val="24"/>
          <w:szCs w:val="24"/>
          <w:highlight w:val="none"/>
          <w:lang w:val="en-US" w:eastAsia="zh-CN"/>
        </w:rPr>
        <w:t>CPU计算集群1：</w:t>
      </w:r>
      <w:r>
        <w:rPr>
          <w:rFonts w:hint="eastAsia"/>
          <w:sz w:val="24"/>
          <w:szCs w:val="24"/>
          <w:highlight w:val="none"/>
          <w:lang w:val="en-US" w:eastAsia="zh-CN"/>
        </w:rPr>
        <w:t>物理核不低于320核，物理内存资源不低于5120GB，主要用于科研相关应用系统部署。</w:t>
      </w:r>
    </w:p>
    <w:p w14:paraId="33E1E69E">
      <w:pPr>
        <w:pStyle w:val="10"/>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sz w:val="24"/>
          <w:szCs w:val="24"/>
          <w:highlight w:val="none"/>
          <w:lang w:val="en-US" w:eastAsia="zh-CN"/>
        </w:rPr>
      </w:pPr>
      <w:r>
        <w:rPr>
          <w:rFonts w:hint="eastAsia"/>
          <w:b/>
          <w:bCs/>
          <w:sz w:val="24"/>
          <w:szCs w:val="24"/>
          <w:highlight w:val="none"/>
          <w:lang w:val="en-US" w:eastAsia="zh-CN"/>
        </w:rPr>
        <w:t>CPU计算集群2：</w:t>
      </w:r>
      <w:r>
        <w:rPr>
          <w:rFonts w:hint="eastAsia"/>
          <w:sz w:val="24"/>
          <w:szCs w:val="24"/>
          <w:highlight w:val="none"/>
          <w:lang w:val="en-US" w:eastAsia="zh-CN"/>
        </w:rPr>
        <w:t>物理核不低于192核，物理内存资源不低于1536GB，主要用于一体化教学平台相关应用系统部署。</w:t>
      </w:r>
    </w:p>
    <w:p w14:paraId="5E21554B">
      <w:pPr>
        <w:pStyle w:val="7"/>
        <w:keepNext/>
        <w:keepLines/>
        <w:pageBreakBefore w:val="0"/>
        <w:widowControl w:val="0"/>
        <w:kinsoku/>
        <w:wordWrap/>
        <w:overflowPunct/>
        <w:topLinePunct w:val="0"/>
        <w:autoSpaceDE/>
        <w:autoSpaceDN/>
        <w:bidi w:val="0"/>
        <w:adjustRightInd/>
        <w:snapToGrid/>
        <w:spacing w:before="0" w:after="0" w:line="360" w:lineRule="auto"/>
        <w:textAlignment w:val="auto"/>
        <w:rPr>
          <w:rFonts w:ascii="宋体" w:hAnsi="宋体"/>
          <w:sz w:val="24"/>
          <w:szCs w:val="24"/>
          <w:highlight w:val="none"/>
        </w:rPr>
      </w:pPr>
      <w:r>
        <w:rPr>
          <w:rFonts w:hint="eastAsia" w:ascii="宋体" w:hAnsi="宋体"/>
          <w:sz w:val="24"/>
          <w:szCs w:val="24"/>
          <w:highlight w:val="none"/>
          <w:lang w:val="en-US" w:eastAsia="zh-CN"/>
        </w:rPr>
        <w:t>GPU</w:t>
      </w:r>
      <w:r>
        <w:rPr>
          <w:rFonts w:hint="eastAsia" w:ascii="宋体" w:hAnsi="宋体"/>
          <w:sz w:val="24"/>
          <w:szCs w:val="24"/>
          <w:highlight w:val="none"/>
        </w:rPr>
        <w:t>计算资源</w:t>
      </w:r>
      <w:r>
        <w:rPr>
          <w:rFonts w:hint="eastAsia" w:ascii="宋体" w:hAnsi="宋体"/>
          <w:sz w:val="24"/>
          <w:szCs w:val="24"/>
          <w:highlight w:val="none"/>
          <w:lang w:val="en-US" w:eastAsia="zh-CN"/>
        </w:rPr>
        <w:t>服务</w:t>
      </w:r>
      <w:r>
        <w:rPr>
          <w:rFonts w:hint="eastAsia" w:ascii="宋体" w:hAnsi="宋体"/>
          <w:sz w:val="24"/>
          <w:szCs w:val="24"/>
          <w:highlight w:val="none"/>
        </w:rPr>
        <w:t>要求</w:t>
      </w:r>
    </w:p>
    <w:p w14:paraId="3725EFBA">
      <w:pPr>
        <w:pStyle w:val="10"/>
        <w:spacing w:line="360" w:lineRule="auto"/>
        <w:ind w:firstLine="420"/>
        <w:rPr>
          <w:rFonts w:hint="eastAsia"/>
          <w:sz w:val="24"/>
          <w:szCs w:val="24"/>
          <w:highlight w:val="none"/>
        </w:rPr>
      </w:pPr>
      <w:r>
        <w:rPr>
          <w:rFonts w:hint="eastAsia"/>
          <w:sz w:val="24"/>
          <w:szCs w:val="24"/>
          <w:highlight w:val="none"/>
          <w:lang w:val="en-US" w:eastAsia="zh-CN"/>
        </w:rPr>
        <w:t>GPU计算</w:t>
      </w:r>
      <w:r>
        <w:rPr>
          <w:rFonts w:hint="eastAsia"/>
          <w:sz w:val="24"/>
          <w:szCs w:val="24"/>
          <w:highlight w:val="none"/>
        </w:rPr>
        <w:t>资源性能要求不得低于以下标准：</w:t>
      </w:r>
    </w:p>
    <w:p w14:paraId="1AF707A3">
      <w:pPr>
        <w:pStyle w:val="10"/>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default"/>
          <w:sz w:val="24"/>
          <w:szCs w:val="24"/>
          <w:highlight w:val="none"/>
          <w:lang w:val="en-US" w:eastAsia="zh-CN"/>
        </w:rPr>
      </w:pPr>
      <w:r>
        <w:rPr>
          <w:rFonts w:hint="eastAsia"/>
          <w:b/>
          <w:bCs/>
          <w:sz w:val="24"/>
          <w:szCs w:val="24"/>
          <w:highlight w:val="none"/>
          <w:lang w:val="en-US" w:eastAsia="zh-CN"/>
        </w:rPr>
        <w:t>图形GPU单节点性能：</w:t>
      </w:r>
      <w:r>
        <w:rPr>
          <w:rFonts w:hint="eastAsia"/>
          <w:sz w:val="24"/>
          <w:szCs w:val="24"/>
          <w:highlight w:val="none"/>
          <w:lang w:val="en-US" w:eastAsia="zh-CN"/>
        </w:rPr>
        <w:t>CPU主频不低于2.1GHz，内核数不低于32核，1024GB内存，2*NVIDIA L20 48GB PCIe GPU卡。</w:t>
      </w:r>
    </w:p>
    <w:p w14:paraId="63F85A75">
      <w:pPr>
        <w:pStyle w:val="10"/>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2" w:firstLineChars="200"/>
        <w:jc w:val="both"/>
        <w:textAlignment w:val="auto"/>
        <w:rPr>
          <w:rFonts w:hint="eastAsia"/>
          <w:sz w:val="24"/>
          <w:szCs w:val="24"/>
          <w:highlight w:val="none"/>
          <w:lang w:val="en-US" w:eastAsia="zh-CN"/>
        </w:rPr>
      </w:pPr>
      <w:r>
        <w:rPr>
          <w:rFonts w:hint="eastAsia"/>
          <w:b/>
          <w:bCs/>
          <w:sz w:val="24"/>
          <w:szCs w:val="24"/>
          <w:highlight w:val="none"/>
          <w:lang w:val="en-US" w:eastAsia="zh-CN"/>
        </w:rPr>
        <w:t>GPU单节点性能：</w:t>
      </w:r>
      <w:r>
        <w:rPr>
          <w:rFonts w:hint="eastAsia"/>
          <w:sz w:val="24"/>
          <w:szCs w:val="24"/>
          <w:highlight w:val="none"/>
          <w:lang w:val="en-US" w:eastAsia="zh-CN"/>
        </w:rPr>
        <w:t>CPU主频不低于2.0GHz，内核数不低于48核，2048GB内存，8*NVIDIA NVLink H20 96GB GPU卡。</w:t>
      </w:r>
    </w:p>
    <w:p w14:paraId="64248CDA">
      <w:pPr>
        <w:pStyle w:val="7"/>
        <w:keepNext/>
        <w:keepLines/>
        <w:pageBreakBefore w:val="0"/>
        <w:widowControl w:val="0"/>
        <w:kinsoku/>
        <w:wordWrap/>
        <w:overflowPunct/>
        <w:topLinePunct w:val="0"/>
        <w:autoSpaceDE/>
        <w:autoSpaceDN/>
        <w:bidi w:val="0"/>
        <w:adjustRightInd/>
        <w:snapToGrid/>
        <w:spacing w:before="0" w:after="0" w:line="360" w:lineRule="auto"/>
        <w:textAlignment w:val="auto"/>
        <w:rPr>
          <w:rFonts w:ascii="宋体" w:hAnsi="宋体"/>
          <w:sz w:val="24"/>
          <w:szCs w:val="24"/>
          <w:highlight w:val="none"/>
        </w:rPr>
      </w:pPr>
      <w:r>
        <w:rPr>
          <w:rFonts w:hint="eastAsia" w:ascii="宋体" w:hAnsi="宋体"/>
          <w:sz w:val="24"/>
          <w:szCs w:val="24"/>
          <w:highlight w:val="none"/>
        </w:rPr>
        <w:t>存储资源</w:t>
      </w:r>
      <w:r>
        <w:rPr>
          <w:rFonts w:hint="eastAsia" w:ascii="宋体" w:hAnsi="宋体"/>
          <w:sz w:val="24"/>
          <w:szCs w:val="24"/>
          <w:highlight w:val="none"/>
          <w:lang w:val="en-US" w:eastAsia="zh-CN"/>
        </w:rPr>
        <w:t>服务</w:t>
      </w:r>
      <w:r>
        <w:rPr>
          <w:rFonts w:hint="eastAsia" w:ascii="宋体" w:hAnsi="宋体"/>
          <w:sz w:val="24"/>
          <w:szCs w:val="24"/>
          <w:highlight w:val="none"/>
        </w:rPr>
        <w:t>要求</w:t>
      </w:r>
    </w:p>
    <w:p w14:paraId="45E36E0B">
      <w:pPr>
        <w:pStyle w:val="10"/>
        <w:spacing w:line="360" w:lineRule="auto"/>
        <w:ind w:firstLine="420"/>
        <w:rPr>
          <w:rFonts w:hint="eastAsia"/>
          <w:sz w:val="24"/>
          <w:szCs w:val="24"/>
          <w:highlight w:val="none"/>
        </w:rPr>
      </w:pPr>
      <w:r>
        <w:rPr>
          <w:rFonts w:hint="eastAsia"/>
          <w:sz w:val="24"/>
          <w:szCs w:val="24"/>
          <w:highlight w:val="none"/>
          <w:lang w:val="en-US" w:eastAsia="zh-CN"/>
        </w:rPr>
        <w:t>存储</w:t>
      </w:r>
      <w:r>
        <w:rPr>
          <w:rFonts w:hint="eastAsia"/>
          <w:sz w:val="24"/>
          <w:szCs w:val="24"/>
          <w:highlight w:val="none"/>
        </w:rPr>
        <w:t>资源性能要求不得低于以下标准：</w:t>
      </w:r>
    </w:p>
    <w:p w14:paraId="6059677E">
      <w:pPr>
        <w:pStyle w:val="10"/>
        <w:spacing w:line="360" w:lineRule="auto"/>
        <w:ind w:firstLine="420"/>
        <w:rPr>
          <w:rFonts w:hint="eastAsia"/>
          <w:sz w:val="24"/>
          <w:szCs w:val="24"/>
          <w:highlight w:val="none"/>
          <w:lang w:eastAsia="zh-CN"/>
        </w:rPr>
      </w:pPr>
      <w:r>
        <w:rPr>
          <w:rFonts w:hint="eastAsia"/>
          <w:b/>
          <w:bCs/>
          <w:sz w:val="24"/>
          <w:szCs w:val="24"/>
          <w:highlight w:val="none"/>
          <w:lang w:val="en-US" w:eastAsia="zh-CN"/>
        </w:rPr>
        <w:t>虚拟化</w:t>
      </w:r>
      <w:r>
        <w:rPr>
          <w:rFonts w:hint="eastAsia"/>
          <w:b/>
          <w:bCs/>
          <w:sz w:val="24"/>
          <w:szCs w:val="24"/>
          <w:highlight w:val="none"/>
        </w:rPr>
        <w:t>存储方面</w:t>
      </w:r>
      <w:r>
        <w:rPr>
          <w:rFonts w:hint="eastAsia"/>
          <w:b/>
          <w:bCs/>
          <w:sz w:val="24"/>
          <w:szCs w:val="24"/>
          <w:highlight w:val="none"/>
          <w:lang w:eastAsia="zh-CN"/>
        </w:rPr>
        <w:t>：</w:t>
      </w:r>
    </w:p>
    <w:p w14:paraId="66992C4F">
      <w:pPr>
        <w:pStyle w:val="10"/>
        <w:spacing w:line="360" w:lineRule="auto"/>
        <w:ind w:firstLine="420"/>
        <w:rPr>
          <w:rFonts w:hint="eastAsia"/>
          <w:sz w:val="24"/>
          <w:szCs w:val="24"/>
          <w:highlight w:val="none"/>
        </w:rPr>
      </w:pPr>
      <w:r>
        <w:rPr>
          <w:rFonts w:hint="eastAsia"/>
          <w:sz w:val="24"/>
          <w:szCs w:val="24"/>
          <w:highlight w:val="none"/>
        </w:rPr>
        <w:t>应采用集中式存储架构，采用FC光纤存储协议，采用</w:t>
      </w:r>
      <w:r>
        <w:rPr>
          <w:rFonts w:hint="eastAsia"/>
          <w:sz w:val="24"/>
          <w:szCs w:val="24"/>
          <w:highlight w:val="none"/>
          <w:lang w:val="en-US" w:eastAsia="zh-CN"/>
        </w:rPr>
        <w:t>双控制器，</w:t>
      </w:r>
      <w:r>
        <w:rPr>
          <w:rFonts w:hint="eastAsia"/>
          <w:sz w:val="24"/>
          <w:szCs w:val="24"/>
          <w:highlight w:val="none"/>
        </w:rPr>
        <w:t>存储缓存不低于</w:t>
      </w:r>
      <w:r>
        <w:rPr>
          <w:rFonts w:hint="eastAsia"/>
          <w:sz w:val="24"/>
          <w:szCs w:val="24"/>
          <w:highlight w:val="none"/>
          <w:lang w:val="en-US" w:eastAsia="zh-CN"/>
        </w:rPr>
        <w:t>256</w:t>
      </w:r>
      <w:r>
        <w:rPr>
          <w:rFonts w:hint="eastAsia"/>
          <w:sz w:val="24"/>
          <w:szCs w:val="24"/>
          <w:highlight w:val="none"/>
        </w:rPr>
        <w:t>GB</w:t>
      </w:r>
      <w:r>
        <w:rPr>
          <w:rFonts w:hint="eastAsia"/>
          <w:sz w:val="24"/>
          <w:szCs w:val="24"/>
          <w:highlight w:val="none"/>
          <w:lang w:eastAsia="zh-CN"/>
        </w:rPr>
        <w:t>，</w:t>
      </w:r>
      <w:r>
        <w:rPr>
          <w:rFonts w:hint="eastAsia"/>
          <w:sz w:val="24"/>
          <w:szCs w:val="24"/>
          <w:highlight w:val="none"/>
        </w:rPr>
        <w:t>SSD单盘容量不高于7.68TB，NL_SAS 单盘不高于14TB</w:t>
      </w:r>
      <w:r>
        <w:rPr>
          <w:rFonts w:hint="eastAsia"/>
          <w:sz w:val="24"/>
          <w:szCs w:val="24"/>
          <w:highlight w:val="none"/>
          <w:lang w:eastAsia="zh-CN"/>
        </w:rPr>
        <w:t>。</w:t>
      </w:r>
      <w:r>
        <w:rPr>
          <w:rFonts w:hint="eastAsia"/>
          <w:sz w:val="24"/>
          <w:szCs w:val="24"/>
          <w:highlight w:val="none"/>
        </w:rPr>
        <w:t>RAID6+2块热备盘后，</w:t>
      </w:r>
      <w:r>
        <w:rPr>
          <w:rFonts w:hint="eastAsia"/>
          <w:sz w:val="24"/>
          <w:szCs w:val="24"/>
          <w:highlight w:val="none"/>
          <w:lang w:val="en-US" w:eastAsia="zh-CN"/>
        </w:rPr>
        <w:t>不少于</w:t>
      </w:r>
      <w:r>
        <w:rPr>
          <w:rFonts w:hint="eastAsia"/>
          <w:sz w:val="24"/>
          <w:szCs w:val="24"/>
          <w:highlight w:val="none"/>
        </w:rPr>
        <w:t>100TB可用空间</w:t>
      </w:r>
      <w:r>
        <w:rPr>
          <w:rFonts w:hint="eastAsia"/>
          <w:color w:val="000000" w:themeColor="text1"/>
          <w:sz w:val="24"/>
          <w:szCs w:val="24"/>
          <w:highlight w:val="none"/>
          <w14:textFill>
            <w14:solidFill>
              <w14:schemeClr w14:val="tx1"/>
            </w14:solidFill>
          </w14:textFill>
        </w:rPr>
        <w:t>。</w:t>
      </w:r>
    </w:p>
    <w:p w14:paraId="498D41AD">
      <w:pPr>
        <w:pStyle w:val="10"/>
        <w:spacing w:line="360" w:lineRule="auto"/>
        <w:ind w:firstLine="420"/>
        <w:rPr>
          <w:rFonts w:hint="eastAsia"/>
          <w:sz w:val="24"/>
          <w:szCs w:val="24"/>
          <w:highlight w:val="none"/>
          <w:lang w:val="en-US" w:eastAsia="zh-CN"/>
        </w:rPr>
      </w:pPr>
      <w:r>
        <w:rPr>
          <w:rFonts w:hint="eastAsia"/>
          <w:b/>
          <w:bCs/>
          <w:sz w:val="24"/>
          <w:szCs w:val="24"/>
          <w:highlight w:val="none"/>
        </w:rPr>
        <w:t>一体化教学平台视频存储</w:t>
      </w:r>
      <w:r>
        <w:rPr>
          <w:rFonts w:hint="eastAsia"/>
          <w:b/>
          <w:bCs/>
          <w:sz w:val="24"/>
          <w:szCs w:val="24"/>
          <w:highlight w:val="none"/>
          <w:lang w:val="en-US" w:eastAsia="zh-CN"/>
        </w:rPr>
        <w:t>性能：</w:t>
      </w:r>
    </w:p>
    <w:p w14:paraId="31C4B4DE">
      <w:pPr>
        <w:pStyle w:val="10"/>
        <w:spacing w:line="360" w:lineRule="auto"/>
        <w:ind w:firstLine="420"/>
        <w:rPr>
          <w:rFonts w:hint="eastAsia"/>
          <w:sz w:val="24"/>
          <w:szCs w:val="24"/>
          <w:highlight w:val="none"/>
          <w:lang w:eastAsia="zh-CN"/>
        </w:rPr>
      </w:pPr>
      <w:r>
        <w:rPr>
          <w:rFonts w:hint="eastAsia"/>
          <w:sz w:val="24"/>
          <w:szCs w:val="24"/>
          <w:highlight w:val="none"/>
          <w:lang w:val="en-US" w:eastAsia="zh-CN"/>
        </w:rPr>
        <w:t>单节点主频不低于2.1GHz，内核数不低于12核，内存不低于128GB DDR4，硬盘</w:t>
      </w:r>
      <w:r>
        <w:rPr>
          <w:rFonts w:hint="eastAsia"/>
          <w:sz w:val="24"/>
          <w:szCs w:val="24"/>
          <w:highlight w:val="none"/>
        </w:rPr>
        <w:t>不低于</w:t>
      </w:r>
      <w:r>
        <w:rPr>
          <w:rFonts w:hint="eastAsia"/>
          <w:sz w:val="24"/>
          <w:szCs w:val="24"/>
          <w:highlight w:val="none"/>
          <w:lang w:val="en-US" w:eastAsia="zh-CN"/>
        </w:rPr>
        <w:t>2块480GB SATA SSD，14块20TB SATA硬盘。整体存储容量不少于</w:t>
      </w:r>
      <w:r>
        <w:rPr>
          <w:rFonts w:hint="eastAsia"/>
          <w:sz w:val="24"/>
          <w:szCs w:val="24"/>
          <w:highlight w:val="none"/>
        </w:rPr>
        <w:t>350TB</w:t>
      </w:r>
      <w:r>
        <w:rPr>
          <w:rFonts w:hint="eastAsia"/>
          <w:sz w:val="24"/>
          <w:szCs w:val="24"/>
          <w:highlight w:val="none"/>
          <w:lang w:eastAsia="zh-CN"/>
        </w:rPr>
        <w:t>。</w:t>
      </w:r>
    </w:p>
    <w:p w14:paraId="5D42E078">
      <w:pPr>
        <w:pStyle w:val="10"/>
        <w:spacing w:line="360" w:lineRule="auto"/>
        <w:ind w:firstLine="420"/>
        <w:rPr>
          <w:rFonts w:hint="eastAsia"/>
          <w:sz w:val="24"/>
          <w:szCs w:val="24"/>
          <w:highlight w:val="none"/>
          <w:lang w:eastAsia="zh-CN"/>
        </w:rPr>
      </w:pPr>
      <w:r>
        <w:rPr>
          <w:rFonts w:hint="eastAsia"/>
          <w:sz w:val="24"/>
          <w:szCs w:val="24"/>
          <w:highlight w:val="none"/>
          <w:lang w:eastAsia="zh-CN"/>
        </w:rPr>
        <w:t>★</w:t>
      </w:r>
      <w:r>
        <w:rPr>
          <w:rFonts w:hint="eastAsia"/>
          <w:b w:val="0"/>
          <w:bCs w:val="0"/>
          <w:sz w:val="24"/>
          <w:szCs w:val="24"/>
          <w:highlight w:val="none"/>
          <w:lang w:val="en-US" w:eastAsia="zh-CN"/>
        </w:rPr>
        <w:t>所投</w:t>
      </w:r>
      <w:r>
        <w:rPr>
          <w:rFonts w:hint="eastAsia"/>
          <w:b w:val="0"/>
          <w:bCs w:val="0"/>
          <w:sz w:val="24"/>
          <w:szCs w:val="24"/>
          <w:highlight w:val="none"/>
        </w:rPr>
        <w:t>一体化教学平台视频存储</w:t>
      </w:r>
      <w:r>
        <w:rPr>
          <w:rFonts w:hint="eastAsia"/>
          <w:b w:val="0"/>
          <w:bCs w:val="0"/>
          <w:sz w:val="24"/>
          <w:szCs w:val="24"/>
          <w:highlight w:val="none"/>
          <w:lang w:val="en-US" w:eastAsia="zh-CN"/>
        </w:rPr>
        <w:t>服务须</w:t>
      </w:r>
      <w:r>
        <w:rPr>
          <w:rFonts w:hint="eastAsia"/>
          <w:b w:val="0"/>
          <w:bCs w:val="0"/>
          <w:sz w:val="24"/>
          <w:szCs w:val="24"/>
          <w:highlight w:val="none"/>
          <w:lang w:eastAsia="zh-CN"/>
        </w:rPr>
        <w:t>与学校现有</w:t>
      </w:r>
      <w:r>
        <w:rPr>
          <w:rFonts w:hint="eastAsia"/>
          <w:b w:val="0"/>
          <w:bCs w:val="0"/>
          <w:sz w:val="24"/>
          <w:szCs w:val="24"/>
          <w:highlight w:val="none"/>
        </w:rPr>
        <w:t>一体化</w:t>
      </w:r>
      <w:r>
        <w:rPr>
          <w:rFonts w:hint="eastAsia"/>
          <w:b w:val="0"/>
          <w:bCs w:val="0"/>
          <w:sz w:val="24"/>
          <w:szCs w:val="24"/>
          <w:highlight w:val="none"/>
          <w:lang w:val="en-US" w:eastAsia="zh-CN"/>
        </w:rPr>
        <w:t>智慧</w:t>
      </w:r>
      <w:r>
        <w:rPr>
          <w:rFonts w:hint="eastAsia"/>
          <w:b w:val="0"/>
          <w:bCs w:val="0"/>
          <w:sz w:val="24"/>
          <w:szCs w:val="24"/>
          <w:highlight w:val="none"/>
        </w:rPr>
        <w:t>教学平台</w:t>
      </w:r>
      <w:r>
        <w:rPr>
          <w:rFonts w:hint="eastAsia"/>
          <w:b w:val="0"/>
          <w:bCs w:val="0"/>
          <w:sz w:val="24"/>
          <w:szCs w:val="24"/>
          <w:highlight w:val="none"/>
          <w:lang w:val="en-US" w:eastAsia="zh-CN"/>
        </w:rPr>
        <w:t>软件</w:t>
      </w:r>
      <w:r>
        <w:rPr>
          <w:rFonts w:hint="eastAsia"/>
          <w:b w:val="0"/>
          <w:bCs w:val="0"/>
          <w:sz w:val="24"/>
          <w:szCs w:val="24"/>
          <w:highlight w:val="none"/>
          <w:lang w:eastAsia="zh-CN"/>
        </w:rPr>
        <w:t>无缝对接，</w:t>
      </w:r>
      <w:r>
        <w:rPr>
          <w:rFonts w:hint="eastAsia"/>
          <w:b w:val="0"/>
          <w:bCs w:val="0"/>
          <w:sz w:val="24"/>
          <w:szCs w:val="24"/>
          <w:highlight w:val="none"/>
          <w:lang w:val="en-US" w:eastAsia="zh-CN"/>
        </w:rPr>
        <w:t>因对接所产生的费用（例如：基础软件环境、软件的兼容适配等）须包含在投标报价中</w:t>
      </w:r>
      <w:r>
        <w:rPr>
          <w:rFonts w:hint="eastAsia"/>
          <w:b w:val="0"/>
          <w:bCs w:val="0"/>
          <w:sz w:val="24"/>
          <w:szCs w:val="24"/>
          <w:highlight w:val="none"/>
          <w:lang w:eastAsia="zh-CN"/>
        </w:rPr>
        <w:t>。（提供现有</w:t>
      </w:r>
      <w:r>
        <w:rPr>
          <w:rFonts w:hint="eastAsia"/>
          <w:b w:val="0"/>
          <w:bCs w:val="0"/>
          <w:sz w:val="24"/>
          <w:szCs w:val="24"/>
          <w:highlight w:val="none"/>
          <w:lang w:val="en-US" w:eastAsia="zh-CN"/>
        </w:rPr>
        <w:t>一体化智慧教学平台软件</w:t>
      </w:r>
      <w:r>
        <w:rPr>
          <w:rFonts w:hint="eastAsia"/>
          <w:b w:val="0"/>
          <w:bCs w:val="0"/>
          <w:sz w:val="24"/>
          <w:szCs w:val="24"/>
          <w:highlight w:val="none"/>
          <w:lang w:eastAsia="zh-CN"/>
        </w:rPr>
        <w:t>原厂</w:t>
      </w:r>
      <w:r>
        <w:rPr>
          <w:rFonts w:hint="eastAsia"/>
          <w:b w:val="0"/>
          <w:bCs w:val="0"/>
          <w:sz w:val="24"/>
          <w:szCs w:val="24"/>
          <w:highlight w:val="none"/>
          <w:lang w:val="en-US" w:eastAsia="zh-CN"/>
        </w:rPr>
        <w:t>对接</w:t>
      </w:r>
      <w:r>
        <w:rPr>
          <w:rFonts w:hint="eastAsia"/>
          <w:b w:val="0"/>
          <w:bCs w:val="0"/>
          <w:sz w:val="24"/>
          <w:szCs w:val="24"/>
          <w:highlight w:val="none"/>
          <w:lang w:eastAsia="zh-CN"/>
        </w:rPr>
        <w:t>承诺函并加盖原厂公章）</w:t>
      </w:r>
    </w:p>
    <w:p w14:paraId="2B4DF844">
      <w:pPr>
        <w:pStyle w:val="10"/>
        <w:spacing w:line="360" w:lineRule="auto"/>
        <w:ind w:firstLine="420"/>
        <w:rPr>
          <w:rFonts w:hint="eastAsia"/>
          <w:sz w:val="24"/>
          <w:szCs w:val="24"/>
          <w:highlight w:val="none"/>
          <w:lang w:val="en-US" w:eastAsia="zh-CN"/>
        </w:rPr>
      </w:pPr>
      <w:r>
        <w:rPr>
          <w:rFonts w:hint="eastAsia"/>
          <w:b/>
          <w:bCs/>
          <w:color w:val="auto"/>
          <w:sz w:val="24"/>
          <w:szCs w:val="24"/>
          <w:highlight w:val="none"/>
          <w:lang w:val="en-US" w:eastAsia="zh-CN"/>
        </w:rPr>
        <w:t>教学视频录像存储性能：</w:t>
      </w:r>
    </w:p>
    <w:p w14:paraId="45296E63">
      <w:pPr>
        <w:pStyle w:val="10"/>
        <w:spacing w:line="360" w:lineRule="auto"/>
        <w:ind w:firstLine="420"/>
        <w:rPr>
          <w:rFonts w:hint="eastAsia"/>
          <w:sz w:val="24"/>
          <w:szCs w:val="24"/>
          <w:highlight w:val="none"/>
          <w:lang w:eastAsia="zh-CN"/>
        </w:rPr>
      </w:pPr>
      <w:r>
        <w:rPr>
          <w:rFonts w:hint="eastAsia"/>
          <w:sz w:val="24"/>
          <w:szCs w:val="24"/>
          <w:highlight w:val="none"/>
          <w:lang w:val="en-US" w:eastAsia="zh-CN"/>
        </w:rPr>
        <w:t>单节点</w:t>
      </w:r>
      <w:r>
        <w:rPr>
          <w:rFonts w:hint="eastAsia"/>
          <w:sz w:val="24"/>
          <w:szCs w:val="24"/>
          <w:highlight w:val="none"/>
        </w:rPr>
        <w:t>不低于</w:t>
      </w:r>
      <w:r>
        <w:rPr>
          <w:rFonts w:hint="eastAsia"/>
          <w:sz w:val="24"/>
          <w:szCs w:val="24"/>
          <w:highlight w:val="none"/>
          <w:lang w:val="en-US" w:eastAsia="zh-CN"/>
        </w:rPr>
        <w:t>36块8T的企业级IoT硬盘，</w:t>
      </w:r>
      <w:r>
        <w:rPr>
          <w:rFonts w:hint="eastAsia"/>
          <w:sz w:val="24"/>
          <w:szCs w:val="24"/>
          <w:highlight w:val="none"/>
          <w:lang w:eastAsia="zh-CN"/>
        </w:rPr>
        <w:t>满足320路3M码流</w:t>
      </w:r>
      <w:r>
        <w:rPr>
          <w:rFonts w:hint="eastAsia"/>
          <w:sz w:val="24"/>
          <w:szCs w:val="24"/>
          <w:highlight w:val="none"/>
          <w:lang w:val="en-US" w:eastAsia="zh-CN"/>
        </w:rPr>
        <w:t>视频</w:t>
      </w:r>
      <w:r>
        <w:rPr>
          <w:rFonts w:hint="eastAsia"/>
          <w:sz w:val="24"/>
          <w:szCs w:val="24"/>
          <w:highlight w:val="none"/>
          <w:lang w:eastAsia="zh-CN"/>
        </w:rPr>
        <w:t>存储60天需求，支持视音频、图片、直接写入，支持视频高速预览、回放、下载。</w:t>
      </w:r>
    </w:p>
    <w:p w14:paraId="12B19C82">
      <w:pPr>
        <w:pStyle w:val="10"/>
        <w:spacing w:line="360" w:lineRule="auto"/>
        <w:ind w:firstLine="420"/>
        <w:rPr>
          <w:rFonts w:hint="eastAsia"/>
          <w:sz w:val="24"/>
          <w:szCs w:val="24"/>
          <w:highlight w:val="none"/>
          <w:lang w:eastAsia="zh-CN"/>
        </w:rPr>
      </w:pPr>
      <w:r>
        <w:rPr>
          <w:rFonts w:hint="eastAsia"/>
          <w:sz w:val="24"/>
          <w:szCs w:val="24"/>
          <w:highlight w:val="none"/>
          <w:lang w:eastAsia="zh-CN"/>
        </w:rPr>
        <w:t>★</w:t>
      </w:r>
      <w:r>
        <w:rPr>
          <w:rFonts w:hint="eastAsia"/>
          <w:sz w:val="24"/>
          <w:szCs w:val="24"/>
          <w:highlight w:val="none"/>
          <w:lang w:val="en-US" w:eastAsia="zh-CN"/>
        </w:rPr>
        <w:t>所投教学视频录像存储服务须</w:t>
      </w:r>
      <w:r>
        <w:rPr>
          <w:rFonts w:hint="eastAsia"/>
          <w:sz w:val="24"/>
          <w:szCs w:val="24"/>
          <w:highlight w:val="none"/>
          <w:lang w:eastAsia="zh-CN"/>
        </w:rPr>
        <w:t>与学校现有</w:t>
      </w:r>
      <w:r>
        <w:rPr>
          <w:rFonts w:hint="eastAsia"/>
          <w:sz w:val="24"/>
          <w:szCs w:val="24"/>
          <w:highlight w:val="none"/>
          <w:lang w:val="en-US" w:eastAsia="zh-CN"/>
        </w:rPr>
        <w:t>教学视频</w:t>
      </w:r>
      <w:r>
        <w:rPr>
          <w:rFonts w:hint="eastAsia"/>
          <w:sz w:val="24"/>
          <w:szCs w:val="24"/>
          <w:highlight w:val="none"/>
          <w:lang w:eastAsia="zh-CN"/>
        </w:rPr>
        <w:t>存储系统无缝对接，实现统一接入、统一管理，支持统一的多级用户管理，可选择用户对设备的操作权限，</w:t>
      </w:r>
      <w:r>
        <w:rPr>
          <w:rFonts w:hint="eastAsia"/>
          <w:sz w:val="24"/>
          <w:szCs w:val="24"/>
          <w:highlight w:val="none"/>
          <w:lang w:val="en-US" w:eastAsia="zh-CN"/>
        </w:rPr>
        <w:t>因对接所产生的费用须包含在投标报价中</w:t>
      </w:r>
      <w:r>
        <w:rPr>
          <w:rFonts w:hint="eastAsia"/>
          <w:sz w:val="24"/>
          <w:szCs w:val="24"/>
          <w:highlight w:val="none"/>
          <w:lang w:eastAsia="zh-CN"/>
        </w:rPr>
        <w:t>。（提供现有</w:t>
      </w:r>
      <w:r>
        <w:rPr>
          <w:rFonts w:hint="eastAsia"/>
          <w:sz w:val="24"/>
          <w:szCs w:val="24"/>
          <w:highlight w:val="none"/>
          <w:lang w:val="en-US" w:eastAsia="zh-CN"/>
        </w:rPr>
        <w:t>教学视频存储</w:t>
      </w:r>
      <w:r>
        <w:rPr>
          <w:rFonts w:hint="eastAsia"/>
          <w:sz w:val="24"/>
          <w:szCs w:val="24"/>
          <w:highlight w:val="none"/>
          <w:lang w:eastAsia="zh-CN"/>
        </w:rPr>
        <w:t>系统原厂</w:t>
      </w:r>
      <w:r>
        <w:rPr>
          <w:rFonts w:hint="eastAsia"/>
          <w:sz w:val="24"/>
          <w:szCs w:val="24"/>
          <w:highlight w:val="none"/>
          <w:lang w:val="en-US" w:eastAsia="zh-CN"/>
        </w:rPr>
        <w:t>对接</w:t>
      </w:r>
      <w:r>
        <w:rPr>
          <w:rFonts w:hint="eastAsia"/>
          <w:sz w:val="24"/>
          <w:szCs w:val="24"/>
          <w:highlight w:val="none"/>
          <w:lang w:eastAsia="zh-CN"/>
        </w:rPr>
        <w:t>承诺函并加盖原厂公章）</w:t>
      </w:r>
    </w:p>
    <w:p w14:paraId="505D7285">
      <w:pPr>
        <w:pStyle w:val="10"/>
        <w:spacing w:line="360" w:lineRule="auto"/>
        <w:ind w:firstLine="420"/>
        <w:rPr>
          <w:rFonts w:hint="eastAsia"/>
          <w:sz w:val="24"/>
          <w:szCs w:val="24"/>
          <w:highlight w:val="none"/>
          <w:lang w:eastAsia="zh-CN"/>
        </w:rPr>
      </w:pPr>
      <w:r>
        <w:rPr>
          <w:rFonts w:hint="eastAsia"/>
          <w:sz w:val="24"/>
          <w:szCs w:val="24"/>
          <w:highlight w:val="none"/>
          <w:lang w:eastAsia="zh-CN"/>
        </w:rPr>
        <w:t>★</w:t>
      </w:r>
      <w:r>
        <w:rPr>
          <w:rFonts w:hint="eastAsia"/>
          <w:sz w:val="24"/>
          <w:szCs w:val="24"/>
          <w:highlight w:val="none"/>
          <w:lang w:val="en-US" w:eastAsia="zh-CN"/>
        </w:rPr>
        <w:t>所投教学视频录像存储服务须</w:t>
      </w:r>
      <w:r>
        <w:rPr>
          <w:rFonts w:hint="eastAsia"/>
          <w:sz w:val="24"/>
          <w:szCs w:val="24"/>
          <w:highlight w:val="none"/>
          <w:lang w:eastAsia="zh-CN"/>
        </w:rPr>
        <w:t>支持快速配置功能检验，支持页面向导型快速配置，在配置前期，对设备进行全面的检测，包括物理环境，域环境，平台环境进行全面扫描，针对发现的异常，给出对应的提示，会明确指出异常，包括硬盘数量异常、docker服务异常、镜像等情况。提供第三方权威机构出具的含CNAS和CMA标识的检验报告扫描件证明。</w:t>
      </w:r>
    </w:p>
    <w:p w14:paraId="425F1BB4">
      <w:pPr>
        <w:pStyle w:val="7"/>
        <w:keepNext/>
        <w:keepLines/>
        <w:pageBreakBefore w:val="0"/>
        <w:widowControl w:val="0"/>
        <w:kinsoku/>
        <w:wordWrap/>
        <w:overflowPunct/>
        <w:topLinePunct w:val="0"/>
        <w:autoSpaceDE/>
        <w:autoSpaceDN/>
        <w:bidi w:val="0"/>
        <w:adjustRightInd/>
        <w:snapToGrid/>
        <w:spacing w:before="0" w:after="0" w:line="360" w:lineRule="auto"/>
        <w:textAlignment w:val="auto"/>
        <w:rPr>
          <w:rFonts w:ascii="宋体" w:hAnsi="宋体"/>
          <w:sz w:val="24"/>
          <w:szCs w:val="24"/>
          <w:highlight w:val="none"/>
        </w:rPr>
      </w:pPr>
      <w:r>
        <w:rPr>
          <w:rFonts w:hint="eastAsia" w:ascii="宋体" w:hAnsi="宋体"/>
          <w:sz w:val="24"/>
          <w:szCs w:val="24"/>
          <w:highlight w:val="none"/>
        </w:rPr>
        <w:t>网络资源</w:t>
      </w:r>
      <w:r>
        <w:rPr>
          <w:rFonts w:hint="eastAsia" w:ascii="宋体" w:hAnsi="宋体"/>
          <w:sz w:val="24"/>
          <w:szCs w:val="24"/>
          <w:highlight w:val="none"/>
          <w:lang w:val="en-US" w:eastAsia="zh-CN"/>
        </w:rPr>
        <w:t>服务</w:t>
      </w:r>
      <w:r>
        <w:rPr>
          <w:rFonts w:hint="eastAsia" w:ascii="宋体" w:hAnsi="宋体"/>
          <w:sz w:val="24"/>
          <w:szCs w:val="24"/>
          <w:highlight w:val="none"/>
        </w:rPr>
        <w:t>要求</w:t>
      </w:r>
    </w:p>
    <w:p w14:paraId="477D1393">
      <w:pPr>
        <w:pStyle w:val="10"/>
        <w:spacing w:line="360" w:lineRule="auto"/>
        <w:ind w:firstLine="420"/>
        <w:rPr>
          <w:rFonts w:hint="eastAsia"/>
          <w:sz w:val="24"/>
          <w:szCs w:val="24"/>
          <w:highlight w:val="none"/>
        </w:rPr>
      </w:pPr>
      <w:r>
        <w:rPr>
          <w:rFonts w:hint="eastAsia"/>
          <w:sz w:val="24"/>
          <w:szCs w:val="24"/>
          <w:highlight w:val="none"/>
        </w:rPr>
        <w:t>供应商</w:t>
      </w:r>
      <w:r>
        <w:rPr>
          <w:rFonts w:hint="eastAsia"/>
          <w:sz w:val="24"/>
          <w:szCs w:val="24"/>
          <w:highlight w:val="none"/>
          <w:lang w:val="en-US" w:eastAsia="zh-CN"/>
        </w:rPr>
        <w:t>须</w:t>
      </w:r>
      <w:r>
        <w:rPr>
          <w:rFonts w:hint="eastAsia"/>
          <w:sz w:val="24"/>
          <w:szCs w:val="24"/>
          <w:highlight w:val="none"/>
        </w:rPr>
        <w:t>精心规划网络资源，以适应不同业务需求。</w:t>
      </w:r>
    </w:p>
    <w:p w14:paraId="090C2673">
      <w:pPr>
        <w:pStyle w:val="10"/>
        <w:numPr>
          <w:ilvl w:val="0"/>
          <w:numId w:val="2"/>
        </w:numPr>
        <w:spacing w:line="360" w:lineRule="auto"/>
        <w:ind w:left="420" w:firstLine="0" w:firstLineChars="0"/>
        <w:jc w:val="left"/>
        <w:rPr>
          <w:rFonts w:hint="eastAsia" w:eastAsia="宋体"/>
          <w:sz w:val="24"/>
          <w:szCs w:val="24"/>
          <w:highlight w:val="none"/>
          <w:lang w:val="en-US" w:eastAsia="zh-CN"/>
        </w:rPr>
      </w:pPr>
      <w:r>
        <w:rPr>
          <w:rFonts w:hint="eastAsia"/>
          <w:sz w:val="24"/>
          <w:szCs w:val="24"/>
          <w:highlight w:val="none"/>
        </w:rPr>
        <w:t>要求云服务网络</w:t>
      </w:r>
      <w:r>
        <w:rPr>
          <w:rFonts w:hint="eastAsia"/>
          <w:sz w:val="24"/>
          <w:szCs w:val="24"/>
          <w:highlight w:val="none"/>
          <w:lang w:val="en-US" w:eastAsia="zh-CN"/>
        </w:rPr>
        <w:t>与</w:t>
      </w:r>
      <w:r>
        <w:rPr>
          <w:rFonts w:hint="eastAsia"/>
          <w:sz w:val="24"/>
          <w:szCs w:val="24"/>
          <w:highlight w:val="none"/>
        </w:rPr>
        <w:t>学校数据中心之间建立10G高速通道物理</w:t>
      </w:r>
      <w:r>
        <w:rPr>
          <w:rFonts w:hint="eastAsia"/>
          <w:sz w:val="24"/>
          <w:szCs w:val="24"/>
          <w:highlight w:val="none"/>
          <w:lang w:val="en-US" w:eastAsia="zh-CN"/>
        </w:rPr>
        <w:t>独享</w:t>
      </w:r>
      <w:r>
        <w:rPr>
          <w:rFonts w:hint="eastAsia"/>
          <w:sz w:val="24"/>
          <w:szCs w:val="24"/>
          <w:highlight w:val="none"/>
        </w:rPr>
        <w:t>专线</w:t>
      </w:r>
      <w:r>
        <w:rPr>
          <w:rFonts w:hint="eastAsia"/>
          <w:sz w:val="24"/>
          <w:szCs w:val="24"/>
          <w:highlight w:val="none"/>
          <w:lang w:eastAsia="zh-CN"/>
        </w:rPr>
        <w:t>；</w:t>
      </w:r>
    </w:p>
    <w:p w14:paraId="496586F6">
      <w:pPr>
        <w:pStyle w:val="10"/>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b w:val="0"/>
          <w:bCs w:val="0"/>
          <w:sz w:val="24"/>
          <w:szCs w:val="24"/>
          <w:highlight w:val="none"/>
          <w:lang w:val="en-US" w:eastAsia="zh-CN"/>
        </w:rPr>
      </w:pPr>
      <w:r>
        <w:rPr>
          <w:rFonts w:hint="eastAsia"/>
          <w:b w:val="0"/>
          <w:bCs w:val="0"/>
          <w:sz w:val="24"/>
          <w:szCs w:val="24"/>
          <w:highlight w:val="none"/>
          <w:lang w:val="en-US" w:eastAsia="zh-CN"/>
        </w:rPr>
        <w:t>业务网络应采用10GE链路，确保数据传输高效、稳定；</w:t>
      </w:r>
    </w:p>
    <w:p w14:paraId="7B5B764B">
      <w:pPr>
        <w:pStyle w:val="10"/>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b w:val="0"/>
          <w:bCs w:val="0"/>
          <w:sz w:val="24"/>
          <w:szCs w:val="24"/>
          <w:highlight w:val="none"/>
          <w:lang w:val="en-US" w:eastAsia="zh-CN"/>
        </w:rPr>
      </w:pPr>
      <w:r>
        <w:rPr>
          <w:rFonts w:hint="eastAsia"/>
          <w:b w:val="0"/>
          <w:bCs w:val="0"/>
          <w:sz w:val="24"/>
          <w:szCs w:val="24"/>
          <w:highlight w:val="none"/>
          <w:lang w:val="en-US" w:eastAsia="zh-CN"/>
        </w:rPr>
        <w:t>存储FC网络应采用16Gb FC链路，保障大规模数据流畅存储与访问；</w:t>
      </w:r>
    </w:p>
    <w:p w14:paraId="7115C11D">
      <w:pPr>
        <w:pStyle w:val="10"/>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b w:val="0"/>
          <w:bCs w:val="0"/>
          <w:sz w:val="24"/>
          <w:szCs w:val="24"/>
          <w:highlight w:val="none"/>
          <w:lang w:val="en-US" w:eastAsia="zh-CN"/>
        </w:rPr>
      </w:pPr>
      <w:r>
        <w:rPr>
          <w:rFonts w:hint="eastAsia"/>
          <w:b w:val="0"/>
          <w:bCs w:val="0"/>
          <w:sz w:val="24"/>
          <w:szCs w:val="24"/>
          <w:highlight w:val="none"/>
          <w:lang w:val="en-US" w:eastAsia="zh-CN"/>
        </w:rPr>
        <w:t>管理网络应采用千兆链路，实现管理操作的顺畅与可靠。</w:t>
      </w:r>
    </w:p>
    <w:p w14:paraId="1D49FE59">
      <w:pPr>
        <w:pStyle w:val="7"/>
        <w:keepNext/>
        <w:keepLines/>
        <w:pageBreakBefore w:val="0"/>
        <w:widowControl w:val="0"/>
        <w:kinsoku/>
        <w:wordWrap/>
        <w:overflowPunct/>
        <w:topLinePunct w:val="0"/>
        <w:autoSpaceDE/>
        <w:autoSpaceDN/>
        <w:bidi w:val="0"/>
        <w:adjustRightInd/>
        <w:snapToGrid/>
        <w:spacing w:before="0" w:after="0" w:line="360" w:lineRule="auto"/>
        <w:textAlignment w:val="auto"/>
        <w:rPr>
          <w:rFonts w:ascii="宋体" w:hAnsi="宋体"/>
          <w:sz w:val="24"/>
          <w:szCs w:val="24"/>
          <w:highlight w:val="none"/>
        </w:rPr>
      </w:pPr>
      <w:r>
        <w:rPr>
          <w:rFonts w:hint="eastAsia" w:ascii="宋体" w:hAnsi="宋体"/>
          <w:sz w:val="24"/>
          <w:szCs w:val="24"/>
          <w:highlight w:val="none"/>
        </w:rPr>
        <w:t>网络</w:t>
      </w:r>
      <w:r>
        <w:rPr>
          <w:rFonts w:hint="eastAsia" w:ascii="宋体" w:hAnsi="宋体"/>
          <w:sz w:val="24"/>
          <w:szCs w:val="24"/>
          <w:highlight w:val="none"/>
          <w:lang w:val="en-US" w:eastAsia="zh-CN"/>
        </w:rPr>
        <w:t>安全资源服务</w:t>
      </w:r>
      <w:r>
        <w:rPr>
          <w:rFonts w:hint="eastAsia" w:ascii="宋体" w:hAnsi="宋体"/>
          <w:sz w:val="24"/>
          <w:szCs w:val="24"/>
          <w:highlight w:val="none"/>
        </w:rPr>
        <w:t>要求</w:t>
      </w:r>
    </w:p>
    <w:p w14:paraId="2605638A">
      <w:pPr>
        <w:pStyle w:val="10"/>
        <w:spacing w:line="360" w:lineRule="auto"/>
        <w:ind w:firstLine="420"/>
        <w:rPr>
          <w:rFonts w:hint="default"/>
          <w:sz w:val="24"/>
          <w:szCs w:val="24"/>
          <w:highlight w:val="none"/>
          <w:lang w:val="en-US" w:eastAsia="zh-CN"/>
        </w:rPr>
      </w:pPr>
      <w:r>
        <w:rPr>
          <w:rFonts w:hint="eastAsia"/>
          <w:sz w:val="24"/>
          <w:szCs w:val="24"/>
          <w:highlight w:val="none"/>
          <w:lang w:val="en-US" w:eastAsia="zh-CN"/>
        </w:rPr>
        <w:t>供应商须提供相关网络安全资源服务，充分考虑网络出口安全管控能力。功能要求如下：</w:t>
      </w:r>
    </w:p>
    <w:p w14:paraId="0BBF3869">
      <w:pPr>
        <w:pStyle w:val="10"/>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b w:val="0"/>
          <w:bCs w:val="0"/>
          <w:sz w:val="24"/>
          <w:szCs w:val="24"/>
          <w:highlight w:val="none"/>
          <w:lang w:val="en-US" w:eastAsia="zh-CN"/>
        </w:rPr>
      </w:pPr>
      <w:r>
        <w:rPr>
          <w:rFonts w:hint="eastAsia"/>
          <w:b w:val="0"/>
          <w:bCs w:val="0"/>
          <w:sz w:val="24"/>
          <w:szCs w:val="24"/>
          <w:highlight w:val="none"/>
          <w:lang w:val="en-US" w:eastAsia="zh-CN"/>
        </w:rPr>
        <w:t>支持链路负载，负载均衡模式支持源IP、目标IP、源IP加目标IP多种方式；</w:t>
      </w:r>
    </w:p>
    <w:p w14:paraId="2BBD8E96">
      <w:pPr>
        <w:pStyle w:val="10"/>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b w:val="0"/>
          <w:bCs w:val="0"/>
          <w:sz w:val="24"/>
          <w:szCs w:val="24"/>
          <w:highlight w:val="none"/>
          <w:lang w:val="en-US" w:eastAsia="zh-CN"/>
        </w:rPr>
      </w:pPr>
      <w:r>
        <w:rPr>
          <w:rFonts w:hint="eastAsia"/>
          <w:b w:val="0"/>
          <w:bCs w:val="0"/>
          <w:sz w:val="24"/>
          <w:szCs w:val="24"/>
          <w:highlight w:val="none"/>
          <w:lang w:val="en-US" w:eastAsia="zh-CN"/>
        </w:rPr>
        <w:t>支持分析每一条TCP连接的客户时延（设备到客户端的网络时延），服务时延（设备到服务器的网络时延），应用时延（会话上下行首包时间差）；</w:t>
      </w:r>
    </w:p>
    <w:p w14:paraId="5819486E">
      <w:pPr>
        <w:pStyle w:val="10"/>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b w:val="0"/>
          <w:bCs w:val="0"/>
          <w:sz w:val="24"/>
          <w:szCs w:val="24"/>
          <w:highlight w:val="none"/>
          <w:lang w:val="en-US" w:eastAsia="zh-CN"/>
        </w:rPr>
      </w:pPr>
      <w:r>
        <w:rPr>
          <w:rFonts w:hint="eastAsia"/>
          <w:b w:val="0"/>
          <w:bCs w:val="0"/>
          <w:sz w:val="24"/>
          <w:szCs w:val="24"/>
          <w:highlight w:val="none"/>
          <w:lang w:val="en-US" w:eastAsia="zh-CN"/>
        </w:rPr>
        <w:t>支持智能DNS功能：域名控制方式支持阻断、劫持和重定向；支持根据不同运营商源IP地址源解析域名；</w:t>
      </w:r>
    </w:p>
    <w:p w14:paraId="2DDC53DE">
      <w:pPr>
        <w:pStyle w:val="10"/>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b w:val="0"/>
          <w:bCs w:val="0"/>
          <w:sz w:val="24"/>
          <w:szCs w:val="24"/>
          <w:highlight w:val="none"/>
          <w:lang w:val="en-US" w:eastAsia="zh-CN"/>
        </w:rPr>
      </w:pPr>
      <w:r>
        <w:rPr>
          <w:rFonts w:hint="eastAsia"/>
          <w:b w:val="0"/>
          <w:bCs w:val="0"/>
          <w:sz w:val="24"/>
          <w:szCs w:val="24"/>
          <w:highlight w:val="none"/>
          <w:lang w:val="en-US" w:eastAsia="zh-CN"/>
        </w:rPr>
        <w:t>内置威胁情报资源库，可以识别数字货币情报、恶意软件情报、僵尸网络情报、Web攻击情报等目标地址或目标域名，并可以对其进行阻断、拦截；并对阻断日志进行记录，便于事后分析。</w:t>
      </w:r>
    </w:p>
    <w:p w14:paraId="26D7ACDC">
      <w:pPr>
        <w:pStyle w:val="10"/>
        <w:spacing w:line="360" w:lineRule="auto"/>
        <w:ind w:firstLine="420"/>
        <w:rPr>
          <w:rFonts w:hint="eastAsia"/>
          <w:sz w:val="24"/>
          <w:szCs w:val="24"/>
          <w:highlight w:val="none"/>
          <w:lang w:val="en-US" w:eastAsia="zh-CN"/>
        </w:rPr>
      </w:pPr>
      <w:r>
        <w:rPr>
          <w:rFonts w:hint="eastAsia"/>
          <w:sz w:val="24"/>
          <w:szCs w:val="24"/>
          <w:highlight w:val="none"/>
          <w:lang w:val="en-US" w:eastAsia="zh-CN"/>
        </w:rPr>
        <w:t>★实现与学校现有认证计费系统实现无缝对接，在系统威胁情报功能中直接查询用户实名账号信息。（投标文件中提供现有认证计费系统原厂承诺函并加盖原厂公章）</w:t>
      </w:r>
    </w:p>
    <w:p w14:paraId="4CB13FB5">
      <w:pPr>
        <w:pStyle w:val="10"/>
        <w:keepNext w:val="0"/>
        <w:keepLines w:val="0"/>
        <w:pageBreakBefore w:val="0"/>
        <w:widowControl/>
        <w:numPr>
          <w:ilvl w:val="-1"/>
          <w:numId w:val="0"/>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b w:val="0"/>
          <w:bCs w:val="0"/>
          <w:sz w:val="24"/>
          <w:szCs w:val="24"/>
          <w:highlight w:val="none"/>
          <w:lang w:val="en-US" w:eastAsia="zh-CN"/>
        </w:rPr>
      </w:pPr>
      <w:r>
        <w:rPr>
          <w:rFonts w:hint="eastAsia"/>
          <w:sz w:val="24"/>
          <w:szCs w:val="24"/>
          <w:highlight w:val="none"/>
          <w:lang w:val="en-US" w:eastAsia="zh-CN"/>
        </w:rPr>
        <w:t>★最大并发连接不低于5500000，最大新建连接速率不低于160000个/秒。投标文件中提供第三方权威机构出具的含CNAS和CMA标识的检验报告扫描件证明。</w:t>
      </w:r>
    </w:p>
    <w:p w14:paraId="38FAFDAE">
      <w:pPr>
        <w:pStyle w:val="7"/>
        <w:keepNext/>
        <w:keepLines/>
        <w:pageBreakBefore w:val="0"/>
        <w:widowControl w:val="0"/>
        <w:kinsoku/>
        <w:wordWrap/>
        <w:overflowPunct/>
        <w:topLinePunct w:val="0"/>
        <w:autoSpaceDE/>
        <w:autoSpaceDN/>
        <w:bidi w:val="0"/>
        <w:adjustRightInd/>
        <w:snapToGrid/>
        <w:spacing w:before="0" w:after="0" w:line="360" w:lineRule="auto"/>
        <w:textAlignment w:val="auto"/>
        <w:rPr>
          <w:rFonts w:ascii="宋体" w:hAnsi="宋体"/>
          <w:sz w:val="24"/>
          <w:szCs w:val="24"/>
          <w:highlight w:val="none"/>
        </w:rPr>
      </w:pPr>
      <w:r>
        <w:rPr>
          <w:rFonts w:hint="eastAsia" w:ascii="宋体" w:hAnsi="宋体"/>
          <w:sz w:val="24"/>
          <w:szCs w:val="24"/>
          <w:highlight w:val="none"/>
          <w:lang w:val="en-US" w:eastAsia="zh-CN"/>
        </w:rPr>
        <w:t>配套</w:t>
      </w:r>
      <w:r>
        <w:rPr>
          <w:rFonts w:hint="eastAsia" w:ascii="宋体" w:hAnsi="宋体"/>
          <w:sz w:val="24"/>
          <w:szCs w:val="24"/>
          <w:highlight w:val="none"/>
        </w:rPr>
        <w:t>软件</w:t>
      </w:r>
      <w:r>
        <w:rPr>
          <w:rFonts w:hint="eastAsia" w:ascii="宋体" w:hAnsi="宋体"/>
          <w:sz w:val="24"/>
          <w:szCs w:val="24"/>
          <w:highlight w:val="none"/>
          <w:lang w:val="en-US" w:eastAsia="zh-CN"/>
        </w:rPr>
        <w:t>服务</w:t>
      </w:r>
      <w:r>
        <w:rPr>
          <w:rFonts w:hint="eastAsia" w:ascii="宋体" w:hAnsi="宋体"/>
          <w:sz w:val="24"/>
          <w:szCs w:val="24"/>
          <w:highlight w:val="none"/>
        </w:rPr>
        <w:t>要求</w:t>
      </w:r>
    </w:p>
    <w:p w14:paraId="07D6F070">
      <w:pPr>
        <w:pStyle w:val="10"/>
        <w:spacing w:line="360" w:lineRule="auto"/>
        <w:ind w:firstLine="420"/>
        <w:rPr>
          <w:rFonts w:hint="eastAsia"/>
          <w:sz w:val="24"/>
          <w:szCs w:val="24"/>
          <w:highlight w:val="none"/>
        </w:rPr>
      </w:pPr>
      <w:r>
        <w:rPr>
          <w:rFonts w:hint="eastAsia"/>
          <w:sz w:val="24"/>
          <w:szCs w:val="24"/>
          <w:highlight w:val="none"/>
        </w:rPr>
        <w:t>供应商提供的</w:t>
      </w:r>
      <w:r>
        <w:rPr>
          <w:rFonts w:hint="eastAsia"/>
          <w:sz w:val="24"/>
          <w:szCs w:val="24"/>
          <w:highlight w:val="none"/>
          <w:lang w:val="en-US" w:eastAsia="zh-CN"/>
        </w:rPr>
        <w:t>配套</w:t>
      </w:r>
      <w:r>
        <w:rPr>
          <w:rFonts w:hint="eastAsia"/>
          <w:sz w:val="24"/>
          <w:szCs w:val="24"/>
          <w:highlight w:val="none"/>
        </w:rPr>
        <w:t>软件满</w:t>
      </w:r>
      <w:r>
        <w:rPr>
          <w:rFonts w:hint="eastAsia"/>
          <w:color w:val="000000" w:themeColor="text1"/>
          <w:sz w:val="24"/>
          <w:szCs w:val="24"/>
          <w:highlight w:val="none"/>
          <w14:textFill>
            <w14:solidFill>
              <w14:schemeClr w14:val="tx1"/>
            </w14:solidFill>
          </w14:textFill>
        </w:rPr>
        <w:t>足</w:t>
      </w:r>
      <w:r>
        <w:rPr>
          <w:rFonts w:hint="eastAsia"/>
          <w:color w:val="000000" w:themeColor="text1"/>
          <w:sz w:val="24"/>
          <w:szCs w:val="24"/>
          <w:highlight w:val="none"/>
          <w:lang w:val="en-US" w:eastAsia="zh-CN"/>
          <w14:textFill>
            <w14:solidFill>
              <w14:schemeClr w14:val="tx1"/>
            </w14:solidFill>
          </w14:textFill>
        </w:rPr>
        <w:t>当前</w:t>
      </w:r>
      <w:r>
        <w:rPr>
          <w:rFonts w:hint="eastAsia"/>
          <w:sz w:val="24"/>
          <w:szCs w:val="24"/>
          <w:highlight w:val="none"/>
          <w:lang w:val="en-US" w:eastAsia="zh-CN"/>
        </w:rPr>
        <w:t>学校</w:t>
      </w:r>
      <w:r>
        <w:rPr>
          <w:rFonts w:hint="eastAsia"/>
          <w:sz w:val="24"/>
          <w:szCs w:val="24"/>
          <w:highlight w:val="none"/>
        </w:rPr>
        <w:t>使用需求</w:t>
      </w:r>
      <w:r>
        <w:rPr>
          <w:rFonts w:hint="eastAsia"/>
          <w:sz w:val="24"/>
          <w:szCs w:val="24"/>
          <w:highlight w:val="none"/>
          <w:lang w:eastAsia="zh-CN"/>
        </w:rPr>
        <w:t>，</w:t>
      </w:r>
      <w:r>
        <w:rPr>
          <w:rFonts w:hint="eastAsia"/>
          <w:sz w:val="24"/>
          <w:szCs w:val="24"/>
          <w:highlight w:val="none"/>
          <w:lang w:val="en-US" w:eastAsia="zh-CN"/>
        </w:rPr>
        <w:t>并支持后期资源扩容</w:t>
      </w:r>
      <w:r>
        <w:rPr>
          <w:rFonts w:hint="eastAsia"/>
          <w:sz w:val="24"/>
          <w:szCs w:val="24"/>
          <w:highlight w:val="none"/>
        </w:rPr>
        <w:t>。</w:t>
      </w:r>
    </w:p>
    <w:p w14:paraId="4A258153">
      <w:pPr>
        <w:pStyle w:val="10"/>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2" w:firstLineChars="200"/>
        <w:textAlignment w:val="auto"/>
        <w:rPr>
          <w:rFonts w:hint="eastAsia"/>
          <w:sz w:val="24"/>
          <w:szCs w:val="24"/>
          <w:highlight w:val="none"/>
          <w:lang w:val="en-US" w:eastAsia="zh-CN"/>
        </w:rPr>
      </w:pPr>
      <w:r>
        <w:rPr>
          <w:rFonts w:hint="eastAsia"/>
          <w:b/>
          <w:bCs/>
          <w:sz w:val="24"/>
          <w:szCs w:val="24"/>
          <w:highlight w:val="none"/>
          <w:lang w:val="en-US" w:eastAsia="zh-CN"/>
        </w:rPr>
        <w:t>虚拟化软件：</w:t>
      </w:r>
      <w:r>
        <w:rPr>
          <w:rFonts w:hint="eastAsia"/>
          <w:sz w:val="24"/>
          <w:szCs w:val="24"/>
          <w:highlight w:val="none"/>
          <w:lang w:val="en-US" w:eastAsia="zh-CN"/>
        </w:rPr>
        <w:t>支持虚拟化集群创建、修改，可实现DRS动态资源调整、集群高可用，支持虚拟机创建、启动、关闭、关闭电源、修改配置、重启、强制重启、休眠、暂停、恢复、删除等功能，支持USB直通或重定向。授权许可数需要满足本次使用需要（不少于16颗物理CPU）。</w:t>
      </w:r>
    </w:p>
    <w:p w14:paraId="5DA3CD33">
      <w:pPr>
        <w:pStyle w:val="10"/>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2" w:firstLineChars="200"/>
        <w:textAlignment w:val="auto"/>
        <w:rPr>
          <w:rFonts w:hint="default"/>
          <w:sz w:val="24"/>
          <w:szCs w:val="24"/>
          <w:highlight w:val="none"/>
          <w:lang w:val="en-US" w:eastAsia="zh-CN"/>
        </w:rPr>
      </w:pPr>
      <w:r>
        <w:rPr>
          <w:rFonts w:hint="eastAsia"/>
          <w:b/>
          <w:bCs/>
          <w:sz w:val="24"/>
          <w:szCs w:val="24"/>
          <w:highlight w:val="none"/>
          <w:lang w:val="en-US" w:eastAsia="zh-CN"/>
        </w:rPr>
        <w:t>集群管理软件：</w:t>
      </w:r>
      <w:r>
        <w:rPr>
          <w:rFonts w:hint="eastAsia"/>
          <w:sz w:val="24"/>
          <w:szCs w:val="24"/>
          <w:highlight w:val="none"/>
          <w:lang w:val="en-US" w:eastAsia="zh-CN"/>
        </w:rPr>
        <w:t>提供集群监控、作业调度、计费计量功能。实现算力的集群管理和智能调度。授权许可数需要满足本次使用需要。</w:t>
      </w:r>
    </w:p>
    <w:p w14:paraId="41D48A4A">
      <w:pPr>
        <w:pStyle w:val="6"/>
        <w:keepNext w:val="0"/>
        <w:keepLines w:val="0"/>
        <w:pageBreakBefore w:val="0"/>
        <w:widowControl w:val="0"/>
        <w:kinsoku/>
        <w:wordWrap/>
        <w:overflowPunct/>
        <w:topLinePunct w:val="0"/>
        <w:autoSpaceDE/>
        <w:autoSpaceDN/>
        <w:bidi w:val="0"/>
        <w:adjustRightInd/>
        <w:snapToGrid/>
        <w:spacing w:before="0" w:after="0" w:line="240" w:lineRule="auto"/>
        <w:ind w:left="578" w:hanging="578"/>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其他要求</w:t>
      </w:r>
    </w:p>
    <w:p w14:paraId="3C5231C5">
      <w:pPr>
        <w:pStyle w:val="10"/>
        <w:spacing w:line="360" w:lineRule="auto"/>
        <w:ind w:firstLine="420"/>
        <w:rPr>
          <w:rFonts w:hint="eastAsia"/>
          <w:sz w:val="24"/>
          <w:szCs w:val="24"/>
          <w:highlight w:val="none"/>
          <w:lang w:val="zh-CN"/>
        </w:rPr>
      </w:pPr>
      <w:r>
        <w:rPr>
          <w:rFonts w:hint="eastAsia"/>
          <w:sz w:val="24"/>
          <w:szCs w:val="24"/>
          <w:highlight w:val="none"/>
          <w:lang w:val="en-US" w:eastAsia="zh-CN"/>
        </w:rPr>
        <w:t>服务周期：总计5年，服务采取2+2+1的模式。第一个周期两年，两年期满后双方无异议自动延续两年，第二个两年期满后双方无异议自动延续一年。（采用2+2+1的模式）</w:t>
      </w:r>
      <w:r>
        <w:rPr>
          <w:rFonts w:hint="eastAsia"/>
          <w:sz w:val="24"/>
          <w:szCs w:val="24"/>
          <w:highlight w:val="none"/>
          <w:lang w:val="zh-CN"/>
        </w:rPr>
        <w:t>。</w:t>
      </w:r>
    </w:p>
    <w:p w14:paraId="6A504A2E">
      <w:pPr>
        <w:pStyle w:val="10"/>
        <w:spacing w:line="360" w:lineRule="auto"/>
        <w:ind w:firstLine="420"/>
        <w:rPr>
          <w:rFonts w:hint="eastAsia"/>
          <w:sz w:val="24"/>
          <w:szCs w:val="24"/>
          <w:highlight w:val="none"/>
          <w:lang w:val="en-US" w:eastAsia="zh-CN"/>
        </w:rPr>
      </w:pPr>
      <w:r>
        <w:rPr>
          <w:rFonts w:hint="eastAsia"/>
          <w:sz w:val="24"/>
          <w:szCs w:val="24"/>
          <w:highlight w:val="none"/>
          <w:lang w:val="en-US" w:eastAsia="zh-CN"/>
        </w:rPr>
        <w:t>运营服务要求：</w:t>
      </w:r>
    </w:p>
    <w:p w14:paraId="6367D772">
      <w:pPr>
        <w:pStyle w:val="10"/>
        <w:numPr>
          <w:ilvl w:val="0"/>
          <w:numId w:val="2"/>
        </w:numPr>
        <w:spacing w:line="360" w:lineRule="auto"/>
        <w:ind w:left="420" w:firstLine="0" w:firstLineChars="0"/>
        <w:rPr>
          <w:rFonts w:hint="eastAsia"/>
          <w:sz w:val="24"/>
          <w:szCs w:val="24"/>
          <w:highlight w:val="none"/>
          <w:lang w:val="en-US"/>
        </w:rPr>
      </w:pPr>
      <w:r>
        <w:rPr>
          <w:rFonts w:hint="eastAsia"/>
          <w:sz w:val="24"/>
          <w:szCs w:val="24"/>
          <w:highlight w:val="none"/>
          <w:lang w:val="en-US"/>
        </w:rPr>
        <w:t>供应商</w:t>
      </w:r>
      <w:r>
        <w:rPr>
          <w:rFonts w:hint="eastAsia"/>
          <w:sz w:val="24"/>
          <w:szCs w:val="24"/>
          <w:highlight w:val="none"/>
          <w:lang w:val="en-US" w:eastAsia="zh-CN"/>
        </w:rPr>
        <w:t>应</w:t>
      </w:r>
      <w:r>
        <w:rPr>
          <w:rFonts w:hint="eastAsia"/>
          <w:sz w:val="24"/>
          <w:szCs w:val="24"/>
          <w:highlight w:val="none"/>
          <w:lang w:val="en-US"/>
        </w:rPr>
        <w:t>根据安徽信息工程学院业务系统的</w:t>
      </w:r>
      <w:r>
        <w:rPr>
          <w:rFonts w:hint="eastAsia"/>
          <w:sz w:val="24"/>
          <w:szCs w:val="24"/>
          <w:highlight w:val="none"/>
          <w:lang w:val="en-US" w:eastAsia="zh-CN"/>
        </w:rPr>
        <w:t>应用</w:t>
      </w:r>
      <w:r>
        <w:rPr>
          <w:rFonts w:hint="eastAsia"/>
          <w:sz w:val="24"/>
          <w:szCs w:val="24"/>
          <w:highlight w:val="none"/>
          <w:lang w:val="en-US"/>
        </w:rPr>
        <w:t>需求，提供</w:t>
      </w:r>
      <w:r>
        <w:rPr>
          <w:rFonts w:hint="eastAsia"/>
          <w:sz w:val="24"/>
          <w:szCs w:val="24"/>
          <w:highlight w:val="none"/>
          <w:lang w:val="en-US" w:eastAsia="zh-CN"/>
        </w:rPr>
        <w:t>及时</w:t>
      </w:r>
      <w:r>
        <w:rPr>
          <w:rFonts w:hint="eastAsia"/>
          <w:sz w:val="24"/>
          <w:szCs w:val="24"/>
          <w:highlight w:val="none"/>
          <w:lang w:val="en-US"/>
        </w:rPr>
        <w:t>必要的计算、存储和网络资源</w:t>
      </w:r>
      <w:r>
        <w:rPr>
          <w:rFonts w:hint="eastAsia"/>
          <w:sz w:val="24"/>
          <w:szCs w:val="24"/>
          <w:highlight w:val="none"/>
          <w:lang w:val="en-US" w:eastAsia="zh-CN"/>
        </w:rPr>
        <w:t>及相关</w:t>
      </w:r>
      <w:r>
        <w:rPr>
          <w:rFonts w:hint="eastAsia"/>
          <w:sz w:val="24"/>
          <w:szCs w:val="24"/>
          <w:highlight w:val="none"/>
          <w:lang w:val="en-US"/>
        </w:rPr>
        <w:t>技术支持。</w:t>
      </w:r>
    </w:p>
    <w:p w14:paraId="52D1AF0B">
      <w:pPr>
        <w:pStyle w:val="10"/>
        <w:numPr>
          <w:ilvl w:val="0"/>
          <w:numId w:val="2"/>
        </w:numPr>
        <w:spacing w:line="360" w:lineRule="auto"/>
        <w:ind w:left="420" w:firstLine="0" w:firstLineChars="0"/>
        <w:rPr>
          <w:rFonts w:hint="eastAsia" w:ascii="Times New Roman" w:hAnsi="Times New Roman" w:eastAsia="宋体" w:cs="Times New Roman"/>
          <w:i w:val="0"/>
          <w:iCs w:val="0"/>
          <w:caps w:val="0"/>
          <w:spacing w:val="0"/>
          <w:sz w:val="24"/>
          <w:szCs w:val="24"/>
          <w:highlight w:val="none"/>
          <w:shd w:val="clear"/>
          <w:lang w:val="en-US"/>
        </w:rPr>
      </w:pPr>
      <w:r>
        <w:rPr>
          <w:rFonts w:hint="eastAsia"/>
          <w:sz w:val="24"/>
          <w:szCs w:val="24"/>
          <w:highlight w:val="none"/>
          <w:lang w:val="en-US" w:eastAsia="zh-CN"/>
        </w:rPr>
        <w:t>云资源开通与管理：供应商按照安徽信息工程学院要求进行云资源的统一管理，例如：资源申请、资源开通、资源变更、资源回收</w:t>
      </w:r>
      <w:r>
        <w:rPr>
          <w:rFonts w:hint="eastAsia"/>
          <w:sz w:val="24"/>
          <w:szCs w:val="24"/>
          <w:highlight w:val="none"/>
          <w:lang w:val="zh-CN"/>
        </w:rPr>
        <w:t>。</w:t>
      </w:r>
    </w:p>
    <w:p w14:paraId="15D8A556">
      <w:pPr>
        <w:pStyle w:val="10"/>
        <w:numPr>
          <w:ilvl w:val="0"/>
          <w:numId w:val="2"/>
        </w:numPr>
        <w:spacing w:line="360" w:lineRule="auto"/>
        <w:ind w:left="420" w:firstLine="0" w:firstLineChars="0"/>
        <w:rPr>
          <w:rFonts w:hint="eastAsia" w:ascii="Times New Roman" w:hAnsi="Times New Roman" w:eastAsia="宋体" w:cs="Times New Roman"/>
          <w:i w:val="0"/>
          <w:iCs w:val="0"/>
          <w:caps w:val="0"/>
          <w:spacing w:val="0"/>
          <w:sz w:val="24"/>
          <w:szCs w:val="24"/>
          <w:highlight w:val="none"/>
          <w:shd w:val="clear"/>
          <w:lang w:val="en-US"/>
        </w:rPr>
      </w:pPr>
      <w:r>
        <w:rPr>
          <w:rFonts w:hint="eastAsia" w:ascii="Times New Roman" w:hAnsi="Times New Roman" w:eastAsia="宋体" w:cs="Times New Roman"/>
          <w:i w:val="0"/>
          <w:iCs w:val="0"/>
          <w:caps w:val="0"/>
          <w:color w:val="auto"/>
          <w:spacing w:val="0"/>
          <w:sz w:val="24"/>
          <w:szCs w:val="24"/>
          <w:highlight w:val="none"/>
          <w:shd w:val="clear" w:fill="auto"/>
          <w:lang w:val="zh-CN"/>
        </w:rPr>
        <w:t>优化资源分配：</w:t>
      </w:r>
      <w:r>
        <w:rPr>
          <w:rFonts w:hint="eastAsia" w:cs="Times New Roman"/>
          <w:i w:val="0"/>
          <w:iCs w:val="0"/>
          <w:caps w:val="0"/>
          <w:spacing w:val="0"/>
          <w:sz w:val="24"/>
          <w:szCs w:val="24"/>
          <w:highlight w:val="none"/>
          <w:shd w:val="clear"/>
          <w:lang w:val="en-US" w:eastAsia="zh-CN"/>
        </w:rPr>
        <w:t>供应商</w:t>
      </w:r>
      <w:r>
        <w:rPr>
          <w:rFonts w:hint="eastAsia" w:ascii="Times New Roman" w:hAnsi="Times New Roman" w:eastAsia="宋体" w:cs="Times New Roman"/>
          <w:i w:val="0"/>
          <w:iCs w:val="0"/>
          <w:caps w:val="0"/>
          <w:color w:val="auto"/>
          <w:spacing w:val="0"/>
          <w:sz w:val="24"/>
          <w:szCs w:val="24"/>
          <w:highlight w:val="none"/>
          <w:shd w:val="clear" w:fill="auto"/>
          <w:lang w:val="zh-CN"/>
        </w:rPr>
        <w:t>根据</w:t>
      </w:r>
      <w:r>
        <w:rPr>
          <w:rFonts w:hint="eastAsia"/>
          <w:sz w:val="24"/>
          <w:szCs w:val="24"/>
          <w:highlight w:val="none"/>
          <w:lang w:val="en-US" w:eastAsia="zh-CN"/>
        </w:rPr>
        <w:t>安徽信息工程学院</w:t>
      </w:r>
      <w:r>
        <w:rPr>
          <w:rFonts w:hint="eastAsia" w:ascii="Times New Roman" w:hAnsi="Times New Roman" w:eastAsia="宋体" w:cs="Times New Roman"/>
          <w:i w:val="0"/>
          <w:iCs w:val="0"/>
          <w:caps w:val="0"/>
          <w:color w:val="auto"/>
          <w:spacing w:val="0"/>
          <w:sz w:val="24"/>
          <w:szCs w:val="24"/>
          <w:highlight w:val="none"/>
          <w:shd w:val="clear" w:fill="auto"/>
          <w:lang w:val="zh-CN"/>
        </w:rPr>
        <w:t>不同业务的需求和工作负载特点，合理配置虚拟机的资源，包括CPU、内存、存储等，实现资源的动态分配和调整，提高资源利用率和性能表现。</w:t>
      </w:r>
    </w:p>
    <w:p w14:paraId="29B74F0F">
      <w:pPr>
        <w:pStyle w:val="10"/>
        <w:numPr>
          <w:ilvl w:val="0"/>
          <w:numId w:val="2"/>
        </w:numPr>
        <w:spacing w:line="360" w:lineRule="auto"/>
        <w:ind w:left="420" w:firstLine="0" w:firstLineChars="0"/>
        <w:rPr>
          <w:rFonts w:hint="default"/>
          <w:sz w:val="24"/>
          <w:szCs w:val="24"/>
          <w:highlight w:val="none"/>
          <w:lang w:val="en-US" w:eastAsia="zh-CN"/>
        </w:rPr>
      </w:pPr>
      <w:r>
        <w:rPr>
          <w:rFonts w:hint="eastAsia" w:cs="Times New Roman"/>
          <w:i w:val="0"/>
          <w:iCs w:val="0"/>
          <w:caps w:val="0"/>
          <w:spacing w:val="0"/>
          <w:sz w:val="24"/>
          <w:szCs w:val="24"/>
          <w:highlight w:val="none"/>
          <w:shd w:val="clear"/>
          <w:lang w:val="en-US" w:eastAsia="zh-CN"/>
        </w:rPr>
        <w:t>上云业务技术支持：供应商按照安徽信息工程学院后期上云需要，提供云资源、基础环境等相关技术支持工作。</w:t>
      </w:r>
    </w:p>
    <w:p w14:paraId="0AA27FBB">
      <w:pPr>
        <w:pStyle w:val="6"/>
        <w:keepNext w:val="0"/>
        <w:keepLines w:val="0"/>
        <w:pageBreakBefore w:val="0"/>
        <w:widowControl w:val="0"/>
        <w:kinsoku/>
        <w:wordWrap/>
        <w:overflowPunct/>
        <w:topLinePunct w:val="0"/>
        <w:autoSpaceDE/>
        <w:autoSpaceDN/>
        <w:bidi w:val="0"/>
        <w:adjustRightInd/>
        <w:snapToGrid/>
        <w:spacing w:before="0" w:after="0" w:line="240" w:lineRule="auto"/>
        <w:ind w:left="578" w:hanging="578"/>
        <w:textAlignment w:val="auto"/>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保密要求</w:t>
      </w:r>
    </w:p>
    <w:p w14:paraId="48D328DC">
      <w:pPr>
        <w:pStyle w:val="10"/>
        <w:spacing w:line="360" w:lineRule="auto"/>
        <w:ind w:firstLine="420"/>
        <w:rPr>
          <w:rFonts w:hint="default"/>
          <w:sz w:val="24"/>
          <w:szCs w:val="24"/>
          <w:highlight w:val="none"/>
          <w:lang w:val="en-US" w:eastAsia="zh-CN"/>
        </w:rPr>
      </w:pPr>
      <w:r>
        <w:rPr>
          <w:rFonts w:hint="eastAsia"/>
          <w:sz w:val="24"/>
          <w:szCs w:val="24"/>
          <w:highlight w:val="none"/>
        </w:rPr>
        <w:t>供应商</w:t>
      </w:r>
      <w:r>
        <w:rPr>
          <w:rFonts w:hint="default"/>
          <w:sz w:val="24"/>
          <w:szCs w:val="24"/>
          <w:highlight w:val="none"/>
          <w:lang w:val="en-US" w:eastAsia="zh-CN"/>
        </w:rPr>
        <w:t>应对项目采购人提供的所有内部资料、技术文档、数据和信息予以保密。</w:t>
      </w:r>
      <w:r>
        <w:rPr>
          <w:rFonts w:hint="eastAsia"/>
          <w:sz w:val="24"/>
          <w:szCs w:val="24"/>
          <w:highlight w:val="none"/>
        </w:rPr>
        <w:t>供应商</w:t>
      </w:r>
      <w:r>
        <w:rPr>
          <w:rFonts w:hint="default"/>
          <w:sz w:val="24"/>
          <w:szCs w:val="24"/>
          <w:highlight w:val="none"/>
          <w:lang w:val="en-US" w:eastAsia="zh-CN"/>
        </w:rPr>
        <w:t>应与采购人签订保密协议并严格遵守，未经采购人书面许可，</w:t>
      </w:r>
      <w:r>
        <w:rPr>
          <w:rFonts w:hint="eastAsia"/>
          <w:sz w:val="24"/>
          <w:szCs w:val="24"/>
          <w:highlight w:val="none"/>
        </w:rPr>
        <w:t>供应商</w:t>
      </w:r>
      <w:r>
        <w:rPr>
          <w:rFonts w:hint="default"/>
          <w:sz w:val="24"/>
          <w:szCs w:val="24"/>
          <w:highlight w:val="none"/>
          <w:lang w:val="en-US" w:eastAsia="zh-CN"/>
        </w:rPr>
        <w:t>不得以任何形式向第三方透露本项目标书以及本项目的任何内容。</w:t>
      </w:r>
    </w:p>
    <w:p w14:paraId="44B0D4E7">
      <w:pPr>
        <w:pStyle w:val="6"/>
        <w:keepNext w:val="0"/>
        <w:keepLines w:val="0"/>
        <w:pageBreakBefore w:val="0"/>
        <w:widowControl w:val="0"/>
        <w:kinsoku/>
        <w:wordWrap/>
        <w:overflowPunct/>
        <w:topLinePunct w:val="0"/>
        <w:autoSpaceDE/>
        <w:autoSpaceDN/>
        <w:bidi w:val="0"/>
        <w:adjustRightInd/>
        <w:snapToGrid/>
        <w:spacing w:before="0" w:after="0" w:line="240" w:lineRule="auto"/>
        <w:ind w:left="578" w:hanging="578"/>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关键软硬件技术要求</w:t>
      </w:r>
    </w:p>
    <w:tbl>
      <w:tblPr>
        <w:tblStyle w:val="8"/>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1350"/>
        <w:gridCol w:w="5217"/>
        <w:gridCol w:w="618"/>
        <w:gridCol w:w="618"/>
      </w:tblGrid>
      <w:tr w14:paraId="4158C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618"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29A40BAA">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35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1244DC42">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521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1AF544F2">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配置描述</w:t>
            </w:r>
          </w:p>
        </w:tc>
        <w:tc>
          <w:tcPr>
            <w:tcW w:w="618"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4842774F">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618"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3EAC2D5F">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14:paraId="4F4DB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091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FE23D">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管理服务器</w:t>
            </w:r>
          </w:p>
        </w:tc>
        <w:tc>
          <w:tcPr>
            <w:tcW w:w="5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C77B">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1、2*英特尔至强金牌处理器，主频≥2.0GHz，内核数≥32核；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2、16*64GB DDR5 5600MHz RDIMM；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3、2*960GB  热插拔固态硬盘；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4、2G缓存RAID卡，支持RAID0/1/5/6等，配置超级电容，支持掉电保护；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5、2*16G HBA卡；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6、2*10Gb 2口万兆网卡，含4个万兆多模光纤模块；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7、冗余电源。</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C88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B5E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B883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1AC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C5EBC">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CPU计算节点1</w:t>
            </w:r>
          </w:p>
        </w:tc>
        <w:tc>
          <w:tcPr>
            <w:tcW w:w="5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EDD1">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1、2*英特尔至强金牌处理器，主频≥2.0GHz，内核数≥32核；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2、16*64GB DDR5 5600MHz RDIMM；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3、2*960GB  热插拔固态硬盘；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4、2G缓存RAID卡，支持RAID0/1/5/6等，配置超级电容，支持掉电保护；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5、2*16G HBA卡；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6、2*10Gb 2口万兆网卡，含4个万兆多模光纤模块；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7、冗余电源。</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DC2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23E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3C074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B28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BE77">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CPU计算节点2</w:t>
            </w:r>
          </w:p>
        </w:tc>
        <w:tc>
          <w:tcPr>
            <w:tcW w:w="5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4528">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1、2*英特尔至强金牌处理器，主频≥2.0GHz，内核数≥32核；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2、16*32GB DDR5 RDIMM；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3、2*960GB  热插拔固态硬盘；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4、2G缓存RAID卡，支持RAID0/1/5/6等，配置超级电容，支持掉电保护；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5、2*16G HBA卡；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6、2*10Gb 2口万兆网卡，含4个万兆多模光纤模块；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7、冗余电源。</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862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7CF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1455A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493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925A8">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图形GPU节点</w:t>
            </w:r>
          </w:p>
        </w:tc>
        <w:tc>
          <w:tcPr>
            <w:tcW w:w="5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C52B">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1、2*英特尔至强Gold 6系及以上处理器，主频≥2.1GHz，内核数≥32核，高速缓存≥60M；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2、16*64GB DDR5 5600MHz RDIMM；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3、2*960GB  热插拔固态硬盘；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4、2G缓存RAID卡，支持RAID0/1/5/6等，配置超级电容，支持掉电保护；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5、2*16G HBA卡；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6、2*10Gb 2口万兆网卡，含4个万兆多模光纤模块；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7、2*NVIDIA L20 48GB PCIe GPU；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8、冗余电源。</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300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79B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4DA1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BAB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36CF">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GPU节点</w:t>
            </w:r>
          </w:p>
        </w:tc>
        <w:tc>
          <w:tcPr>
            <w:tcW w:w="5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ED63">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1、2*英特尔至强Platinum 8系及以上处理器，主频≥2.0GHz，内核数≥48核，高速缓存≥260M；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2、32*64GB DDR5 5600MHz RDIMM；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3、2*480GB  热插拔固态硬盘；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4、4*3.84TB NVME SSD 热插拔固态硬盘；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5、4G缓存RAID卡，支持RAID0/1/5/6等，配置超级电容，支持掉电保护；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6、2*10Gb 2口万兆网卡，含4个万兆多模光纤模块；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*NVIDIA NVLink H20 96GB显存GPU卡；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8、冗余电源。</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922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5FD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5FB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5A8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D9E6">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存储系统</w:t>
            </w:r>
          </w:p>
        </w:tc>
        <w:tc>
          <w:tcPr>
            <w:tcW w:w="5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8505">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1、RAID6+2块热备盘后，至少100TB可用空间；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2、要求双控，256GB以上高速缓存，混闪。8*16Gbps或以上主机接口；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3、硬盘配比要求：SSD 容量：NL_SAS 容量不低于2:8，SSD 单盘容量不高于7.68TB，NL_SAS 单盘不高于14TB；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4、配置存储管理软件、多路径软件，配置自动分层、自动精简、快照功能。软件授权不得限制存储容量。</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1A8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0E0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136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35B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E7454">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一体化教学平台视频存储服务器</w:t>
            </w:r>
          </w:p>
        </w:tc>
        <w:tc>
          <w:tcPr>
            <w:tcW w:w="5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36BC">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1、2颗英特尔至强银牌处理器，主频≥2.1GHz，内核数≥12核；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2、≥128GB DDR4内存；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3、2块480GB SATA SSD 硬盘，14块20TB SATA硬盘；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4、RAID阵列卡，支持RAID0/1/10/5/6/50/60，配置≥2GB缓存，支持缓存数据保护，配置掉电保护模块</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F10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A23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8A07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FA0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F8FD">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Fonts w:hint="eastAsia"/>
                <w:b w:val="0"/>
                <w:bCs w:val="0"/>
                <w:color w:val="auto"/>
                <w:sz w:val="24"/>
                <w:szCs w:val="24"/>
                <w:highlight w:val="none"/>
                <w:lang w:val="en-US" w:eastAsia="zh-CN"/>
              </w:rPr>
              <w:t>教学视频录像存储</w:t>
            </w:r>
          </w:p>
        </w:tc>
        <w:tc>
          <w:tcPr>
            <w:tcW w:w="5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0D75">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sz w:val="24"/>
                <w:szCs w:val="24"/>
                <w:highlight w:val="none"/>
                <w:lang w:eastAsia="zh-CN"/>
              </w:rPr>
              <w:t>与学校现有</w:t>
            </w:r>
            <w:r>
              <w:rPr>
                <w:rFonts w:hint="eastAsia"/>
                <w:sz w:val="24"/>
                <w:szCs w:val="24"/>
                <w:highlight w:val="none"/>
                <w:lang w:val="en-US" w:eastAsia="zh-CN"/>
              </w:rPr>
              <w:t>教学视频</w:t>
            </w:r>
            <w:r>
              <w:rPr>
                <w:rFonts w:hint="eastAsia"/>
                <w:sz w:val="24"/>
                <w:szCs w:val="24"/>
                <w:highlight w:val="none"/>
                <w:lang w:eastAsia="zh-CN"/>
              </w:rPr>
              <w:t>存储系统无缝对接，实现统一接入、统一管理</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2、4U机架式36盘位，64位多核处理器；16GB缓存；冗余电源；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3、配置36块8T的企业级IoT硬盘；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4、6个千兆网口；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5、1个系统SSD盘，支持网络RAID，支持视音频、图片、直接写入，支持视频高速预览、回放、下载，支持云内容灾备份，支持一体化运维，支持GB/T28181-2011、Onvif、RTSP、H265、SVAC等标准视频协议。</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A8B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0BA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55B64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77B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55393">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光纤存储交换机</w:t>
            </w:r>
          </w:p>
        </w:tc>
        <w:tc>
          <w:tcPr>
            <w:tcW w:w="5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D54C">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SAN Switch 激活24端口 含24x 16Gb 短波光模块；全激活；单电源；上架套件</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5B3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E92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9DB6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1EA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243EB">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管理交换机</w:t>
            </w:r>
          </w:p>
        </w:tc>
        <w:tc>
          <w:tcPr>
            <w:tcW w:w="5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26EC">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交换容量≥1Tbps，包转发率≥500Mpps。固化48个10/100/1000M自适应电口，4个1G/10G SFP+光口，配置2个万兆多模光模块。</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278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F42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D86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FFA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BDEBA">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万兆交换机</w:t>
            </w:r>
          </w:p>
        </w:tc>
        <w:tc>
          <w:tcPr>
            <w:tcW w:w="5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EA97">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交换容量≥2.56Tbps，包转发率≥1080Mpps。48个10G SFP+光端口，4个40G/100G QSFP28端口，配置48个万兆多模光模块。</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919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5D5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F3D0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798B">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566D5">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安全出口网关</w:t>
            </w:r>
          </w:p>
        </w:tc>
        <w:tc>
          <w:tcPr>
            <w:tcW w:w="5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C638">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1、配置不少于4个万兆光口，配置4个万兆多模光模块，不少于</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个千兆</w:t>
            </w:r>
            <w:r>
              <w:rPr>
                <w:rFonts w:hint="eastAsia" w:ascii="宋体" w:hAnsi="宋体" w:cs="宋体"/>
                <w:i w:val="0"/>
                <w:iCs w:val="0"/>
                <w:color w:val="000000"/>
                <w:kern w:val="0"/>
                <w:sz w:val="22"/>
                <w:szCs w:val="22"/>
                <w:u w:val="none"/>
                <w:lang w:val="en-US" w:eastAsia="zh-CN" w:bidi="ar"/>
              </w:rPr>
              <w:t>光</w:t>
            </w:r>
            <w:r>
              <w:rPr>
                <w:rFonts w:hint="eastAsia" w:ascii="宋体" w:hAnsi="宋体" w:eastAsia="宋体" w:cs="宋体"/>
                <w:i w:val="0"/>
                <w:iCs w:val="0"/>
                <w:color w:val="000000"/>
                <w:kern w:val="0"/>
                <w:sz w:val="22"/>
                <w:szCs w:val="22"/>
                <w:u w:val="none"/>
                <w:lang w:val="en-US" w:eastAsia="zh-CN" w:bidi="ar"/>
              </w:rPr>
              <w:t>口</w:t>
            </w:r>
            <w:r>
              <w:rPr>
                <w:rFonts w:hint="eastAsia" w:ascii="宋体" w:hAnsi="宋体" w:cs="宋体"/>
                <w:i w:val="0"/>
                <w:iCs w:val="0"/>
                <w:color w:val="000000"/>
                <w:kern w:val="0"/>
                <w:sz w:val="22"/>
                <w:szCs w:val="22"/>
                <w:u w:val="none"/>
                <w:lang w:val="en-US" w:eastAsia="zh-CN" w:bidi="ar"/>
              </w:rPr>
              <w:t>，不少于4个千兆电口，支持不少于20G网络层吞吐量</w:t>
            </w:r>
            <w:r>
              <w:rPr>
                <w:rFonts w:hint="eastAsia" w:ascii="宋体" w:hAnsi="宋体" w:eastAsia="宋体" w:cs="宋体"/>
                <w:i w:val="0"/>
                <w:iCs w:val="0"/>
                <w:color w:val="000000"/>
                <w:kern w:val="0"/>
                <w:sz w:val="22"/>
                <w:szCs w:val="22"/>
                <w:u w:val="none"/>
                <w:lang w:val="en-US" w:eastAsia="zh-CN" w:bidi="ar"/>
              </w:rPr>
              <w:t>；</w:t>
            </w:r>
          </w:p>
          <w:p w14:paraId="5ABD8385">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2、支持透明网桥模式，支持路由模式，支持NAT模式，支持旁路分析模式，支持路由、NAT、网桥和旁路分析的混合模式；</w:t>
            </w:r>
          </w:p>
          <w:p w14:paraId="11D1709F">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3、支持链路负载，负载均衡模式支持源IP、目标IP、源IP加目标IP多种方式；</w:t>
            </w:r>
          </w:p>
          <w:p w14:paraId="62EE6318">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4、支持分析每一条TCP连接的客户时延（设备到客户端的网络时延），服务时延（设备到服务器的网络时延），应用时延（会话上下行首包时间差）；</w:t>
            </w:r>
          </w:p>
          <w:p w14:paraId="20B25F3F">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5、支持智能DNS功能：域名控制方式支持阻断、劫持和重定向；支持根据不同运营商源IP地址源解析域名；</w:t>
            </w:r>
          </w:p>
          <w:p w14:paraId="3296899C">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6、威胁情报阻断：内置威胁情报资源库，可以识别数字货币情报、恶意软件情报、僵尸网络情报、Web攻击情报等目标地址或目标域名，并可以对其进行阻断、拦截；并对阻断日志进行记录，便于事后分析。</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BF2F">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9C26">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r>
      <w:tr w14:paraId="0DF10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37A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14F68">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虚拟化软件</w:t>
            </w:r>
          </w:p>
        </w:tc>
        <w:tc>
          <w:tcPr>
            <w:tcW w:w="5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F556">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器虚拟化软件，支持虚拟化集群创建、修改，可实现DRS动态资源调整、集群高可用，支持虚拟机创建、启动、关闭、关闭电源、修改配置、重启、强制重启、休眠、暂停、恢复、删除等功能，支持USB直通或重定向，支持GPU直通。授权许可数满足本次使用需要。</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5A8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5EF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B654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000E">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95A6">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集群管理软件</w:t>
            </w:r>
          </w:p>
        </w:tc>
        <w:tc>
          <w:tcPr>
            <w:tcW w:w="5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8761">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提供集群监控、作业调度、计费计量功能。实现各类算力的集群管理和智能调度。授权许可数满足本次使用需要，要求提供原厂商现场部署实施服务。</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049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5145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14:paraId="0E223AFA">
      <w:pPr>
        <w:pStyle w:val="10"/>
        <w:spacing w:line="360" w:lineRule="auto"/>
        <w:ind w:left="0" w:leftChars="0" w:firstLine="0" w:firstLineChars="0"/>
        <w:rPr>
          <w:rFonts w:hint="default"/>
          <w:sz w:val="24"/>
          <w:szCs w:val="24"/>
          <w:highlight w:val="none"/>
          <w:lang w:val="en-US" w:eastAsia="zh-CN"/>
        </w:rPr>
      </w:pPr>
    </w:p>
    <w:p w14:paraId="7F244436">
      <w:pPr>
        <w:jc w:val="center"/>
        <w:rPr>
          <w:rFonts w:hint="eastAsia" w:ascii="宋体" w:hAnsi="宋体" w:cs="宋体"/>
          <w:bCs w:val="0"/>
          <w:color w:val="000000"/>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0EF5F"/>
    <w:multiLevelType w:val="singleLevel"/>
    <w:tmpl w:val="9D40EF5F"/>
    <w:lvl w:ilvl="0" w:tentative="0">
      <w:start w:val="1"/>
      <w:numFmt w:val="bullet"/>
      <w:lvlText w:val=""/>
      <w:lvlJc w:val="left"/>
      <w:pPr>
        <w:ind w:left="420" w:hanging="420"/>
      </w:pPr>
      <w:rPr>
        <w:rFonts w:hint="default" w:ascii="Wingdings" w:hAnsi="Wingdings"/>
      </w:rPr>
    </w:lvl>
  </w:abstractNum>
  <w:abstractNum w:abstractNumId="1">
    <w:nsid w:val="CDAA5B91"/>
    <w:multiLevelType w:val="multilevel"/>
    <w:tmpl w:val="CDAA5B91"/>
    <w:lvl w:ilvl="0" w:tentative="0">
      <w:start w:val="1"/>
      <w:numFmt w:val="chineseCountingThousand"/>
      <w:pStyle w:val="5"/>
      <w:lvlText w:val="%1、"/>
      <w:lvlJc w:val="left"/>
      <w:pPr>
        <w:ind w:left="420" w:hanging="420"/>
      </w:pPr>
      <w:rPr>
        <w:rFonts w:hint="eastAsia"/>
      </w:rPr>
    </w:lvl>
    <w:lvl w:ilvl="1" w:tentative="0">
      <w:start w:val="1"/>
      <w:numFmt w:val="decimal"/>
      <w:pStyle w:val="6"/>
      <w:lvlText w:val="%2."/>
      <w:lvlJc w:val="left"/>
      <w:pPr>
        <w:ind w:left="576" w:hanging="576"/>
      </w:pPr>
      <w:rPr>
        <w:rFonts w:hint="eastAsia"/>
      </w:rPr>
    </w:lvl>
    <w:lvl w:ilvl="2" w:tentative="0">
      <w:start w:val="1"/>
      <w:numFmt w:val="decimal"/>
      <w:pStyle w:val="7"/>
      <w:lvlText w:val="%2.%3"/>
      <w:lvlJc w:val="left"/>
      <w:pPr>
        <w:ind w:left="720" w:hanging="720"/>
      </w:pPr>
      <w:rPr>
        <w:rFonts w:hint="eastAsia"/>
      </w:rPr>
    </w:lvl>
    <w:lvl w:ilvl="3" w:tentative="0">
      <w:start w:val="1"/>
      <w:numFmt w:val="decimal"/>
      <w:lvlText w:val="%2.%3.%4"/>
      <w:lvlJc w:val="left"/>
      <w:pPr>
        <w:ind w:left="864" w:hanging="864"/>
      </w:pPr>
      <w:rPr>
        <w:rFonts w:hint="eastAsia"/>
      </w:rPr>
    </w:lvl>
    <w:lvl w:ilvl="4" w:tentative="0">
      <w:start w:val="1"/>
      <w:numFmt w:val="decimal"/>
      <w:lvlText w:val="%2.%3.%4.%5"/>
      <w:lvlJc w:val="left"/>
      <w:pPr>
        <w:ind w:left="1008" w:hanging="1008"/>
      </w:pPr>
      <w:rPr>
        <w:rFonts w:hint="eastAsia"/>
      </w:rPr>
    </w:lvl>
    <w:lvl w:ilvl="5" w:tentative="0">
      <w:start w:val="1"/>
      <w:numFmt w:val="decimal"/>
      <w:lvlText w:val="%2.%3.%4.%5.%6"/>
      <w:lvlJc w:val="left"/>
      <w:pPr>
        <w:ind w:left="1152" w:hanging="1152"/>
      </w:pPr>
      <w:rPr>
        <w:rFonts w:hint="eastAsia"/>
      </w:rPr>
    </w:lvl>
    <w:lvl w:ilvl="6" w:tentative="0">
      <w:start w:val="1"/>
      <w:numFmt w:val="decimal"/>
      <w:lvlText w:val="%2.%3.%4.%5.%6.%7"/>
      <w:lvlJc w:val="left"/>
      <w:pPr>
        <w:ind w:left="1296" w:hanging="1296"/>
      </w:pPr>
      <w:rPr>
        <w:rFonts w:hint="eastAsia"/>
      </w:rPr>
    </w:lvl>
    <w:lvl w:ilvl="7" w:tentative="0">
      <w:start w:val="1"/>
      <w:numFmt w:val="decimal"/>
      <w:lvlText w:val="%2.%3.%4.%5.%6.%7.%8"/>
      <w:lvlJc w:val="left"/>
      <w:pPr>
        <w:ind w:left="1440" w:hanging="1440"/>
      </w:pPr>
      <w:rPr>
        <w:rFonts w:hint="eastAsia"/>
      </w:rPr>
    </w:lvl>
    <w:lvl w:ilvl="8" w:tentative="0">
      <w:start w:val="1"/>
      <w:numFmt w:val="decimal"/>
      <w:lvlText w:val="%2.%3.%4.%5.%6.%7.%8.%9"/>
      <w:lvlJc w:val="left"/>
      <w:pPr>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MGUzY2RmNDBkMTgzMzJjMGRiZjYzODgwZDhlNDAifQ=="/>
  </w:docVars>
  <w:rsids>
    <w:rsidRoot w:val="64F06A37"/>
    <w:rsid w:val="64F06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numPr>
        <w:ilvl w:val="0"/>
        <w:numId w:val="1"/>
      </w:numPr>
      <w:tabs>
        <w:tab w:val="left" w:pos="142"/>
        <w:tab w:val="left" w:pos="284"/>
      </w:tabs>
      <w:spacing w:line="240" w:lineRule="auto"/>
      <w:ind w:left="0" w:firstLine="0"/>
      <w:jc w:val="center"/>
      <w:outlineLvl w:val="0"/>
    </w:pPr>
    <w:rPr>
      <w:rFonts w:ascii="宋体" w:hAnsi="宋体" w:eastAsia="宋体"/>
      <w:b/>
      <w:bCs/>
      <w:kern w:val="28"/>
      <w:sz w:val="32"/>
      <w:szCs w:val="44"/>
    </w:rPr>
  </w:style>
  <w:style w:type="paragraph" w:styleId="6">
    <w:name w:val="heading 2"/>
    <w:basedOn w:val="1"/>
    <w:next w:val="1"/>
    <w:unhideWhenUsed/>
    <w:qFormat/>
    <w:uiPriority w:val="0"/>
    <w:pPr>
      <w:keepNext/>
      <w:keepLines/>
      <w:numPr>
        <w:ilvl w:val="1"/>
        <w:numId w:val="1"/>
      </w:numPr>
      <w:spacing w:before="240" w:after="240"/>
      <w:ind w:left="576" w:hanging="576" w:firstLineChars="0"/>
      <w:jc w:val="left"/>
      <w:outlineLvl w:val="1"/>
    </w:pPr>
    <w:rPr>
      <w:rFonts w:ascii="Times New Roman" w:hAnsi="Times New Roman" w:eastAsia="仿宋" w:cs="Times New Roman"/>
      <w:b/>
      <w:bCs/>
      <w:sz w:val="32"/>
      <w:szCs w:val="36"/>
    </w:rPr>
  </w:style>
  <w:style w:type="paragraph" w:styleId="7">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ascii="Calibri" w:hAnsi="Calibri"/>
      <w:szCs w:val="22"/>
    </w:rPr>
  </w:style>
  <w:style w:type="paragraph" w:styleId="3">
    <w:name w:val="Body Text"/>
    <w:basedOn w:val="1"/>
    <w:next w:val="4"/>
    <w:qFormat/>
    <w:uiPriority w:val="0"/>
    <w:pPr>
      <w:spacing w:after="120"/>
      <w:jc w:val="left"/>
    </w:pPr>
    <w:rPr>
      <w:rFonts w:ascii="Times New Roman" w:hAnsi="Times New Roman" w:eastAsia="宋体" w:cs="Times New Roman"/>
      <w:sz w:val="24"/>
      <w:szCs w:val="24"/>
    </w:rPr>
  </w:style>
  <w:style w:type="paragraph" w:styleId="4">
    <w:name w:val="Balloon Text"/>
    <w:basedOn w:val="1"/>
    <w:unhideWhenUsed/>
    <w:qFormat/>
    <w:uiPriority w:val="99"/>
    <w:rPr>
      <w:sz w:val="18"/>
      <w:szCs w:val="18"/>
    </w:rPr>
  </w:style>
  <w:style w:type="paragraph" w:customStyle="1" w:styleId="10">
    <w:name w:val="正文_2"/>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4</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2024-07-21T09:15:00Z</dcterms:created>
  <dc:creator>神光毓逍遥</dc:creator>
  <cp:lastModifiedBy>神光毓逍遥</cp:lastModifiedBy>
  <dcterms:modified xsi:type="dcterms:W3CDTF">2024-07-21T09:21:06Z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C51AEA8478B540D381F2B63BAF6AB705_11</vt:lpwstr>
  </property>
</Properties>
</file>