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E556B">
      <w:pPr>
        <w:widowControl/>
        <w:shd w:val="clear" w:color="auto" w:fill="FFFFFF"/>
        <w:spacing w:line="440" w:lineRule="atLeast"/>
        <w:jc w:val="center"/>
        <w:rPr>
          <w:rFonts w:hint="default" w:ascii="仿宋" w:hAnsi="仿宋" w:eastAsia="仿宋" w:cs="仿宋"/>
          <w:b/>
          <w:bCs/>
          <w:kern w:val="0"/>
          <w:sz w:val="28"/>
          <w:szCs w:val="28"/>
          <w:lang w:val="en-US" w:eastAsia="zh-CN"/>
        </w:rPr>
      </w:pPr>
      <w:r>
        <w:rPr>
          <w:rFonts w:hint="eastAsia" w:ascii="仿宋" w:hAnsi="仿宋" w:eastAsia="仿宋" w:cs="仿宋"/>
          <w:b/>
          <w:bCs/>
          <w:kern w:val="0"/>
          <w:sz w:val="32"/>
          <w:szCs w:val="32"/>
          <w:lang w:val="en-US" w:eastAsia="zh-CN"/>
        </w:rPr>
        <w:t>自动售货机租赁摆放基本要求</w:t>
      </w:r>
    </w:p>
    <w:p w14:paraId="674D6365">
      <w:pPr>
        <w:widowControl/>
        <w:shd w:val="clear" w:color="auto" w:fill="FFFFFF"/>
        <w:spacing w:line="440" w:lineRule="atLeast"/>
        <w:rPr>
          <w:rFonts w:hint="default"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一、基本情况</w:t>
      </w:r>
    </w:p>
    <w:p w14:paraId="61ADCE0E">
      <w:pPr>
        <w:pStyle w:val="6"/>
        <w:keepNext w:val="0"/>
        <w:keepLines w:val="0"/>
        <w:widowControl/>
        <w:suppressLineNumbers w:val="0"/>
        <w:wordWrap w:val="0"/>
        <w:spacing w:before="0" w:beforeAutospacing="0" w:after="0" w:afterAutospacing="0" w:line="390" w:lineRule="atLeast"/>
        <w:ind w:left="0" w:right="0" w:firstLine="430"/>
        <w:rPr>
          <w:rFonts w:hint="eastAsia" w:ascii="仿宋" w:hAnsi="仿宋" w:eastAsia="仿宋" w:cs="仿宋"/>
          <w:kern w:val="0"/>
          <w:sz w:val="28"/>
          <w:szCs w:val="28"/>
          <w:lang w:val="en-US" w:eastAsia="zh-CN"/>
        </w:rPr>
      </w:pPr>
      <w:bookmarkStart w:id="0" w:name="OLE_LINK3"/>
      <w:r>
        <w:rPr>
          <w:rFonts w:hint="eastAsia" w:ascii="仿宋" w:hAnsi="仿宋" w:eastAsia="仿宋" w:cs="仿宋"/>
          <w:sz w:val="28"/>
          <w:szCs w:val="28"/>
          <w:lang w:val="en-US" w:eastAsia="zh-CN"/>
        </w:rPr>
        <w:t>安徽信息工程学院</w:t>
      </w:r>
      <w:r>
        <w:rPr>
          <w:rFonts w:hint="eastAsia" w:ascii="仿宋" w:hAnsi="仿宋" w:eastAsia="仿宋" w:cs="仿宋"/>
          <w:kern w:val="0"/>
          <w:sz w:val="28"/>
          <w:szCs w:val="28"/>
        </w:rPr>
        <w:t>现有在校</w:t>
      </w:r>
      <w:r>
        <w:rPr>
          <w:rFonts w:hint="eastAsia" w:ascii="仿宋" w:hAnsi="仿宋" w:eastAsia="仿宋" w:cs="仿宋"/>
          <w:kern w:val="0"/>
          <w:sz w:val="28"/>
          <w:szCs w:val="28"/>
          <w:lang w:val="en-US" w:eastAsia="zh-CN"/>
        </w:rPr>
        <w:t>生</w:t>
      </w:r>
      <w:r>
        <w:rPr>
          <w:rFonts w:ascii="仿宋_GB2312" w:hAnsi="微软雅黑" w:eastAsia="仿宋_GB2312" w:cs="仿宋_GB2312"/>
          <w:sz w:val="28"/>
          <w:szCs w:val="28"/>
        </w:rPr>
        <w:t>14300余人</w:t>
      </w:r>
      <w:r>
        <w:rPr>
          <w:rFonts w:hint="default" w:ascii="仿宋_GB2312" w:hAnsi="微软雅黑" w:eastAsia="仿宋_GB2312" w:cs="仿宋_GB2312"/>
          <w:sz w:val="28"/>
          <w:szCs w:val="28"/>
        </w:rPr>
        <w:t>，教职工900余人</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生活超市4家，</w:t>
      </w:r>
      <w:r>
        <w:rPr>
          <w:rFonts w:hint="eastAsia" w:ascii="仿宋" w:hAnsi="仿宋" w:eastAsia="仿宋" w:cs="仿宋"/>
          <w:kern w:val="0"/>
          <w:sz w:val="28"/>
          <w:szCs w:val="28"/>
        </w:rPr>
        <w:t>学生</w:t>
      </w:r>
      <w:r>
        <w:rPr>
          <w:rFonts w:hint="eastAsia" w:ascii="仿宋" w:hAnsi="仿宋" w:eastAsia="仿宋" w:cs="仿宋"/>
          <w:kern w:val="0"/>
          <w:sz w:val="28"/>
          <w:szCs w:val="28"/>
          <w:lang w:val="en-US" w:eastAsia="zh-CN"/>
        </w:rPr>
        <w:t>公寓楼10</w:t>
      </w:r>
      <w:r>
        <w:rPr>
          <w:rFonts w:hint="eastAsia" w:ascii="仿宋" w:hAnsi="仿宋" w:eastAsia="仿宋" w:cs="仿宋"/>
          <w:kern w:val="0"/>
          <w:sz w:val="28"/>
          <w:szCs w:val="28"/>
        </w:rPr>
        <w:t>栋</w:t>
      </w:r>
      <w:r>
        <w:rPr>
          <w:rFonts w:hint="eastAsia" w:ascii="仿宋" w:hAnsi="仿宋" w:eastAsia="仿宋" w:cs="仿宋"/>
          <w:kern w:val="0"/>
          <w:sz w:val="28"/>
          <w:szCs w:val="28"/>
          <w:lang w:val="en-US" w:eastAsia="zh-CN"/>
        </w:rPr>
        <w:t>、教工公寓1栋、体育馆1栋</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健体馆1栋。</w:t>
      </w:r>
      <w:bookmarkEnd w:id="0"/>
    </w:p>
    <w:p w14:paraId="4001A19C">
      <w:pPr>
        <w:widowControl/>
        <w:shd w:val="clear" w:color="auto" w:fill="FFFFFF"/>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二、</w:t>
      </w:r>
      <w:r>
        <w:rPr>
          <w:rFonts w:hint="eastAsia" w:ascii="仿宋" w:hAnsi="仿宋" w:eastAsia="仿宋" w:cs="仿宋"/>
          <w:b/>
          <w:bCs/>
          <w:kern w:val="0"/>
          <w:sz w:val="28"/>
          <w:szCs w:val="28"/>
        </w:rPr>
        <w:t>服务期限</w:t>
      </w:r>
    </w:p>
    <w:p w14:paraId="5AA5D817">
      <w:pPr>
        <w:widowControl/>
        <w:shd w:val="clear" w:color="auto" w:fill="FFFFFF"/>
        <w:spacing w:line="360" w:lineRule="auto"/>
        <w:ind w:firstLine="480"/>
        <w:rPr>
          <w:rFonts w:hint="eastAsia" w:ascii="仿宋" w:hAnsi="仿宋" w:eastAsia="仿宋" w:cs="仿宋"/>
          <w:kern w:val="0"/>
          <w:sz w:val="28"/>
          <w:szCs w:val="28"/>
        </w:rPr>
      </w:pPr>
      <w:bookmarkStart w:id="1" w:name="OLE_LINK4"/>
      <w:r>
        <w:rPr>
          <w:rFonts w:hint="eastAsia" w:ascii="仿宋" w:hAnsi="仿宋" w:eastAsia="仿宋" w:cs="仿宋"/>
          <w:kern w:val="0"/>
          <w:sz w:val="28"/>
          <w:szCs w:val="28"/>
          <w:lang w:val="en-US" w:eastAsia="zh-CN"/>
        </w:rPr>
        <w:t>服务</w:t>
      </w:r>
      <w:r>
        <w:rPr>
          <w:rFonts w:hint="eastAsia" w:ascii="仿宋" w:hAnsi="仿宋" w:eastAsia="仿宋" w:cs="仿宋"/>
          <w:kern w:val="0"/>
          <w:sz w:val="28"/>
          <w:szCs w:val="28"/>
        </w:rPr>
        <w:t>期限</w:t>
      </w:r>
      <w:r>
        <w:rPr>
          <w:rFonts w:hint="eastAsia" w:ascii="仿宋" w:hAnsi="仿宋" w:eastAsia="仿宋" w:cs="仿宋"/>
          <w:kern w:val="0"/>
          <w:sz w:val="28"/>
          <w:szCs w:val="28"/>
          <w:lang w:val="en-US" w:eastAsia="zh-CN"/>
        </w:rPr>
        <w:t>两</w:t>
      </w:r>
      <w:r>
        <w:rPr>
          <w:rFonts w:hint="eastAsia" w:ascii="仿宋" w:hAnsi="仿宋" w:eastAsia="仿宋" w:cs="仿宋"/>
          <w:kern w:val="0"/>
          <w:sz w:val="28"/>
          <w:szCs w:val="28"/>
        </w:rPr>
        <w:t>年</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分两个阶段</w:t>
      </w:r>
      <w:r>
        <w:rPr>
          <w:rFonts w:hint="eastAsia" w:ascii="仿宋" w:hAnsi="仿宋" w:eastAsia="仿宋" w:cs="仿宋"/>
          <w:kern w:val="0"/>
          <w:sz w:val="28"/>
          <w:szCs w:val="28"/>
        </w:rPr>
        <w:t>。</w:t>
      </w:r>
    </w:p>
    <w:p w14:paraId="76EEFAE3">
      <w:pPr>
        <w:widowControl/>
        <w:numPr>
          <w:ilvl w:val="0"/>
          <w:numId w:val="0"/>
        </w:numPr>
        <w:shd w:val="clear" w:color="auto" w:fill="FFFFFF"/>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（一）第一阶段：1</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2024年8月20日-2025年7月31日</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合同届满前，中标单位提前3个月向学校提交续签申请，经学校审批</w:t>
      </w:r>
      <w:r>
        <w:rPr>
          <w:rFonts w:hint="eastAsia" w:ascii="仿宋" w:hAnsi="仿宋" w:eastAsia="仿宋" w:cs="仿宋"/>
          <w:sz w:val="28"/>
          <w:szCs w:val="28"/>
        </w:rPr>
        <w:t>同意</w:t>
      </w:r>
      <w:r>
        <w:rPr>
          <w:rFonts w:hint="eastAsia" w:ascii="仿宋" w:hAnsi="仿宋" w:eastAsia="仿宋" w:cs="仿宋"/>
          <w:sz w:val="28"/>
          <w:szCs w:val="28"/>
          <w:lang w:val="en-US" w:eastAsia="zh-CN"/>
        </w:rPr>
        <w:t>后续签第二阶段合同；</w:t>
      </w:r>
    </w:p>
    <w:p w14:paraId="154E70AA">
      <w:pPr>
        <w:widowControl/>
        <w:numPr>
          <w:ilvl w:val="0"/>
          <w:numId w:val="0"/>
        </w:numPr>
        <w:shd w:val="clear" w:color="auto" w:fill="FFFFFF"/>
        <w:spacing w:line="360" w:lineRule="auto"/>
        <w:rPr>
          <w:rFonts w:hint="eastAsia" w:ascii="仿宋" w:hAnsi="仿宋" w:eastAsia="仿宋" w:cs="仿宋"/>
          <w:kern w:val="0"/>
          <w:sz w:val="28"/>
          <w:szCs w:val="28"/>
          <w:lang w:val="en-US" w:eastAsia="zh-CN"/>
        </w:rPr>
      </w:pPr>
      <w:r>
        <w:rPr>
          <w:rFonts w:hint="eastAsia" w:ascii="仿宋" w:hAnsi="仿宋" w:eastAsia="仿宋" w:cs="仿宋"/>
          <w:sz w:val="28"/>
          <w:szCs w:val="28"/>
          <w:lang w:val="en-US" w:eastAsia="zh-CN"/>
        </w:rPr>
        <w:t>（二）第二阶段：1</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2025年8月1日-2026年7月31日</w:t>
      </w:r>
      <w:r>
        <w:rPr>
          <w:rFonts w:hint="eastAsia" w:ascii="仿宋" w:hAnsi="仿宋" w:eastAsia="仿宋" w:cs="仿宋"/>
          <w:sz w:val="28"/>
          <w:szCs w:val="28"/>
          <w:lang w:eastAsia="zh-CN"/>
        </w:rPr>
        <w:t>）</w:t>
      </w:r>
      <w:r>
        <w:rPr>
          <w:rFonts w:hint="eastAsia" w:ascii="仿宋" w:hAnsi="仿宋" w:eastAsia="仿宋" w:cs="仿宋"/>
          <w:kern w:val="0"/>
          <w:sz w:val="28"/>
          <w:szCs w:val="28"/>
        </w:rPr>
        <w:t>。</w:t>
      </w:r>
    </w:p>
    <w:bookmarkEnd w:id="1"/>
    <w:p w14:paraId="1F6131C7">
      <w:pPr>
        <w:pStyle w:val="6"/>
        <w:keepNext w:val="0"/>
        <w:keepLines w:val="0"/>
        <w:widowControl/>
        <w:numPr>
          <w:ilvl w:val="0"/>
          <w:numId w:val="0"/>
        </w:numPr>
        <w:suppressLineNumbers w:val="0"/>
        <w:wordWrap w:val="0"/>
        <w:spacing w:before="0" w:beforeAutospacing="0" w:after="0" w:afterAutospacing="0" w:line="390" w:lineRule="atLeast"/>
        <w:ind w:right="0" w:rightChars="0"/>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三、需求明细</w:t>
      </w:r>
    </w:p>
    <w:p w14:paraId="24F14F61">
      <w:pPr>
        <w:pStyle w:val="6"/>
        <w:keepNext w:val="0"/>
        <w:keepLines w:val="0"/>
        <w:widowControl/>
        <w:numPr>
          <w:ilvl w:val="0"/>
          <w:numId w:val="0"/>
        </w:numPr>
        <w:suppressLineNumbers w:val="0"/>
        <w:wordWrap w:val="0"/>
        <w:spacing w:before="0" w:beforeAutospacing="0" w:after="0" w:afterAutospacing="0" w:line="390" w:lineRule="atLeast"/>
        <w:ind w:right="0" w:rightChars="0" w:firstLine="560" w:firstLineChars="200"/>
        <w:rPr>
          <w:rFonts w:hint="eastAsia" w:ascii="仿宋" w:hAnsi="仿宋" w:eastAsia="仿宋" w:cs="仿宋"/>
          <w:kern w:val="0"/>
          <w:sz w:val="28"/>
          <w:szCs w:val="28"/>
          <w:lang w:eastAsia="zh-CN"/>
        </w:rPr>
      </w:pPr>
      <w:bookmarkStart w:id="2" w:name="OLE_LINK5"/>
      <w:r>
        <w:rPr>
          <w:rFonts w:hint="eastAsia" w:ascii="仿宋" w:hAnsi="仿宋" w:eastAsia="仿宋" w:cs="仿宋"/>
          <w:kern w:val="0"/>
          <w:sz w:val="28"/>
          <w:szCs w:val="28"/>
        </w:rPr>
        <w:t>为响应学生生活服务需求，计划在学生</w:t>
      </w:r>
      <w:r>
        <w:rPr>
          <w:rFonts w:hint="eastAsia" w:ascii="仿宋" w:hAnsi="仿宋" w:eastAsia="仿宋" w:cs="仿宋"/>
          <w:kern w:val="0"/>
          <w:sz w:val="28"/>
          <w:szCs w:val="28"/>
          <w:lang w:val="en-US" w:eastAsia="zh-CN"/>
        </w:rPr>
        <w:t>公寓</w:t>
      </w:r>
      <w:r>
        <w:rPr>
          <w:rFonts w:hint="eastAsia" w:ascii="仿宋" w:hAnsi="仿宋" w:eastAsia="仿宋" w:cs="仿宋"/>
          <w:kern w:val="0"/>
          <w:sz w:val="28"/>
          <w:szCs w:val="28"/>
        </w:rPr>
        <w:t>楼</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教工公寓楼、体育馆、健体馆布置</w:t>
      </w:r>
      <w:r>
        <w:rPr>
          <w:rFonts w:hint="eastAsia" w:ascii="仿宋" w:hAnsi="仿宋" w:eastAsia="仿宋" w:cs="仿宋"/>
          <w:kern w:val="0"/>
          <w:sz w:val="28"/>
          <w:szCs w:val="28"/>
        </w:rPr>
        <w:t>自动售货机</w:t>
      </w:r>
      <w:r>
        <w:rPr>
          <w:rFonts w:hint="eastAsia" w:ascii="仿宋" w:hAnsi="仿宋" w:eastAsia="仿宋" w:cs="仿宋"/>
          <w:b/>
          <w:kern w:val="0"/>
          <w:sz w:val="28"/>
          <w:szCs w:val="28"/>
          <w:lang w:val="en-US" w:eastAsia="zh-CN"/>
        </w:rPr>
        <w:t>18</w:t>
      </w:r>
      <w:r>
        <w:rPr>
          <w:rFonts w:hint="eastAsia" w:ascii="仿宋" w:hAnsi="仿宋" w:eastAsia="仿宋" w:cs="仿宋"/>
          <w:kern w:val="0"/>
          <w:sz w:val="28"/>
          <w:szCs w:val="28"/>
        </w:rPr>
        <w:t>台</w:t>
      </w:r>
      <w:r>
        <w:rPr>
          <w:rFonts w:hint="eastAsia" w:ascii="仿宋" w:hAnsi="仿宋" w:eastAsia="仿宋" w:cs="仿宋"/>
          <w:kern w:val="0"/>
          <w:sz w:val="28"/>
          <w:szCs w:val="28"/>
          <w:lang w:eastAsia="zh-CN"/>
        </w:rPr>
        <w:t>。</w:t>
      </w:r>
    </w:p>
    <w:bookmarkEnd w:id="2"/>
    <w:p w14:paraId="6FB38589">
      <w:pPr>
        <w:pStyle w:val="6"/>
        <w:keepNext w:val="0"/>
        <w:keepLines w:val="0"/>
        <w:widowControl/>
        <w:numPr>
          <w:ilvl w:val="0"/>
          <w:numId w:val="0"/>
        </w:numPr>
        <w:suppressLineNumbers w:val="0"/>
        <w:wordWrap w:val="0"/>
        <w:spacing w:before="0" w:beforeAutospacing="0" w:after="0" w:afterAutospacing="0" w:line="390" w:lineRule="atLeast"/>
        <w:ind w:right="0" w:rightChars="0"/>
        <w:rPr>
          <w:rFonts w:hint="eastAsia" w:ascii="仿宋" w:hAnsi="仿宋" w:eastAsia="仿宋" w:cs="仿宋"/>
          <w:b/>
          <w:bCs/>
          <w:kern w:val="0"/>
          <w:sz w:val="28"/>
          <w:szCs w:val="28"/>
        </w:rPr>
      </w:pP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位置分布</w:t>
      </w:r>
    </w:p>
    <w:tbl>
      <w:tblPr>
        <w:tblStyle w:val="7"/>
        <w:tblW w:w="0" w:type="auto"/>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3923"/>
        <w:gridCol w:w="2841"/>
      </w:tblGrid>
      <w:tr w14:paraId="1292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02" w:type="dxa"/>
            <w:noWrap w:val="0"/>
            <w:vAlign w:val="top"/>
          </w:tcPr>
          <w:p w14:paraId="68EA459C">
            <w:pPr>
              <w:widowControl/>
              <w:spacing w:line="4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3930" w:type="dxa"/>
            <w:noWrap w:val="0"/>
            <w:vAlign w:val="top"/>
          </w:tcPr>
          <w:p w14:paraId="61CB3D3C">
            <w:pPr>
              <w:widowControl/>
              <w:spacing w:line="4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放置地点</w:t>
            </w:r>
          </w:p>
        </w:tc>
        <w:tc>
          <w:tcPr>
            <w:tcW w:w="2846" w:type="dxa"/>
            <w:noWrap w:val="0"/>
            <w:vAlign w:val="top"/>
          </w:tcPr>
          <w:p w14:paraId="1162869B">
            <w:pPr>
              <w:widowControl/>
              <w:spacing w:line="4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台数</w:t>
            </w:r>
          </w:p>
        </w:tc>
      </w:tr>
      <w:tr w14:paraId="29B5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02" w:type="dxa"/>
            <w:noWrap w:val="0"/>
            <w:vAlign w:val="top"/>
          </w:tcPr>
          <w:p w14:paraId="78F58F11">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930" w:type="dxa"/>
            <w:noWrap w:val="0"/>
            <w:vAlign w:val="top"/>
          </w:tcPr>
          <w:p w14:paraId="22AB982A">
            <w:pPr>
              <w:widowControl/>
              <w:spacing w:line="440"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A15体育馆</w:t>
            </w:r>
          </w:p>
        </w:tc>
        <w:tc>
          <w:tcPr>
            <w:tcW w:w="2846" w:type="dxa"/>
            <w:noWrap w:val="0"/>
            <w:vAlign w:val="top"/>
          </w:tcPr>
          <w:p w14:paraId="4C98A858">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台</w:t>
            </w:r>
          </w:p>
        </w:tc>
      </w:tr>
      <w:tr w14:paraId="3175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02" w:type="dxa"/>
            <w:noWrap w:val="0"/>
            <w:vAlign w:val="top"/>
          </w:tcPr>
          <w:p w14:paraId="6E0A320F">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3930" w:type="dxa"/>
            <w:noWrap w:val="0"/>
            <w:vAlign w:val="top"/>
          </w:tcPr>
          <w:p w14:paraId="70EB786A">
            <w:pPr>
              <w:widowControl/>
              <w:spacing w:line="440"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A38健体馆</w:t>
            </w:r>
          </w:p>
        </w:tc>
        <w:tc>
          <w:tcPr>
            <w:tcW w:w="2846" w:type="dxa"/>
            <w:noWrap w:val="0"/>
            <w:vAlign w:val="top"/>
          </w:tcPr>
          <w:p w14:paraId="14A6F380">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台</w:t>
            </w:r>
          </w:p>
        </w:tc>
      </w:tr>
      <w:tr w14:paraId="73D2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02" w:type="dxa"/>
            <w:noWrap w:val="0"/>
            <w:vAlign w:val="top"/>
          </w:tcPr>
          <w:p w14:paraId="0441E606">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3930" w:type="dxa"/>
            <w:noWrap w:val="0"/>
            <w:vAlign w:val="top"/>
          </w:tcPr>
          <w:p w14:paraId="7D5DC7D1">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A17公寓</w:t>
            </w:r>
            <w:r>
              <w:rPr>
                <w:rFonts w:hint="eastAsia" w:ascii="仿宋" w:hAnsi="仿宋" w:eastAsia="仿宋" w:cs="仿宋"/>
                <w:kern w:val="0"/>
                <w:sz w:val="24"/>
                <w:szCs w:val="24"/>
              </w:rPr>
              <w:t>楼</w:t>
            </w:r>
          </w:p>
        </w:tc>
        <w:tc>
          <w:tcPr>
            <w:tcW w:w="2846" w:type="dxa"/>
            <w:noWrap w:val="0"/>
            <w:vAlign w:val="top"/>
          </w:tcPr>
          <w:p w14:paraId="0DCA1D85">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1台</w:t>
            </w:r>
          </w:p>
        </w:tc>
      </w:tr>
      <w:tr w14:paraId="6AD8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02" w:type="dxa"/>
            <w:noWrap w:val="0"/>
            <w:vAlign w:val="top"/>
          </w:tcPr>
          <w:p w14:paraId="11B2808B">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3930" w:type="dxa"/>
            <w:noWrap w:val="0"/>
            <w:vAlign w:val="top"/>
          </w:tcPr>
          <w:p w14:paraId="0B1D648E">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A18公寓</w:t>
            </w:r>
            <w:r>
              <w:rPr>
                <w:rFonts w:hint="eastAsia" w:ascii="仿宋" w:hAnsi="仿宋" w:eastAsia="仿宋" w:cs="仿宋"/>
                <w:kern w:val="0"/>
                <w:sz w:val="24"/>
                <w:szCs w:val="24"/>
              </w:rPr>
              <w:t>楼</w:t>
            </w:r>
          </w:p>
        </w:tc>
        <w:tc>
          <w:tcPr>
            <w:tcW w:w="2846" w:type="dxa"/>
            <w:noWrap w:val="0"/>
            <w:vAlign w:val="top"/>
          </w:tcPr>
          <w:p w14:paraId="5AF69197">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台</w:t>
            </w:r>
          </w:p>
        </w:tc>
      </w:tr>
      <w:tr w14:paraId="7589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02" w:type="dxa"/>
            <w:noWrap w:val="0"/>
            <w:vAlign w:val="top"/>
          </w:tcPr>
          <w:p w14:paraId="57A9339C">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3930" w:type="dxa"/>
            <w:noWrap w:val="0"/>
            <w:vAlign w:val="top"/>
          </w:tcPr>
          <w:p w14:paraId="60AE6302">
            <w:pPr>
              <w:widowControl/>
              <w:spacing w:line="440" w:lineRule="atLeas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A19公寓</w:t>
            </w:r>
            <w:r>
              <w:rPr>
                <w:rFonts w:hint="eastAsia" w:ascii="仿宋" w:hAnsi="仿宋" w:eastAsia="仿宋" w:cs="仿宋"/>
                <w:kern w:val="0"/>
                <w:sz w:val="24"/>
                <w:szCs w:val="24"/>
              </w:rPr>
              <w:t>楼</w:t>
            </w:r>
          </w:p>
        </w:tc>
        <w:tc>
          <w:tcPr>
            <w:tcW w:w="2846" w:type="dxa"/>
            <w:noWrap w:val="0"/>
            <w:vAlign w:val="top"/>
          </w:tcPr>
          <w:p w14:paraId="03F54EBE">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1台</w:t>
            </w:r>
          </w:p>
        </w:tc>
      </w:tr>
      <w:tr w14:paraId="300D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02" w:type="dxa"/>
            <w:noWrap w:val="0"/>
            <w:vAlign w:val="top"/>
          </w:tcPr>
          <w:p w14:paraId="04D258C1">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3930" w:type="dxa"/>
            <w:noWrap w:val="0"/>
            <w:vAlign w:val="top"/>
          </w:tcPr>
          <w:p w14:paraId="4516A474">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A20公寓</w:t>
            </w:r>
            <w:r>
              <w:rPr>
                <w:rFonts w:hint="eastAsia" w:ascii="仿宋" w:hAnsi="仿宋" w:eastAsia="仿宋" w:cs="仿宋"/>
                <w:kern w:val="0"/>
                <w:sz w:val="24"/>
                <w:szCs w:val="24"/>
              </w:rPr>
              <w:t>楼</w:t>
            </w:r>
          </w:p>
        </w:tc>
        <w:tc>
          <w:tcPr>
            <w:tcW w:w="2846" w:type="dxa"/>
            <w:noWrap w:val="0"/>
            <w:vAlign w:val="top"/>
          </w:tcPr>
          <w:p w14:paraId="16626AB3">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台</w:t>
            </w:r>
          </w:p>
        </w:tc>
      </w:tr>
      <w:tr w14:paraId="768B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02" w:type="dxa"/>
            <w:noWrap w:val="0"/>
            <w:vAlign w:val="top"/>
          </w:tcPr>
          <w:p w14:paraId="6229FA57">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3930" w:type="dxa"/>
            <w:noWrap w:val="0"/>
            <w:vAlign w:val="top"/>
          </w:tcPr>
          <w:p w14:paraId="52A3E322">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A21公寓</w:t>
            </w:r>
            <w:r>
              <w:rPr>
                <w:rFonts w:hint="eastAsia" w:ascii="仿宋" w:hAnsi="仿宋" w:eastAsia="仿宋" w:cs="仿宋"/>
                <w:kern w:val="0"/>
                <w:sz w:val="24"/>
                <w:szCs w:val="24"/>
              </w:rPr>
              <w:t>楼</w:t>
            </w:r>
          </w:p>
        </w:tc>
        <w:tc>
          <w:tcPr>
            <w:tcW w:w="2846" w:type="dxa"/>
            <w:noWrap w:val="0"/>
            <w:vAlign w:val="top"/>
          </w:tcPr>
          <w:p w14:paraId="0EC04C82">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1台</w:t>
            </w:r>
          </w:p>
        </w:tc>
      </w:tr>
      <w:tr w14:paraId="547B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02" w:type="dxa"/>
            <w:noWrap w:val="0"/>
            <w:vAlign w:val="top"/>
          </w:tcPr>
          <w:p w14:paraId="6DDE0C72">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3930" w:type="dxa"/>
            <w:noWrap w:val="0"/>
            <w:vAlign w:val="top"/>
          </w:tcPr>
          <w:p w14:paraId="4034E8C6">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A37教工公寓</w:t>
            </w:r>
            <w:r>
              <w:rPr>
                <w:rFonts w:hint="eastAsia" w:ascii="仿宋" w:hAnsi="仿宋" w:eastAsia="仿宋" w:cs="仿宋"/>
                <w:kern w:val="0"/>
                <w:sz w:val="24"/>
                <w:szCs w:val="24"/>
              </w:rPr>
              <w:t>楼</w:t>
            </w:r>
          </w:p>
        </w:tc>
        <w:tc>
          <w:tcPr>
            <w:tcW w:w="2846" w:type="dxa"/>
            <w:noWrap w:val="0"/>
            <w:vAlign w:val="top"/>
          </w:tcPr>
          <w:p w14:paraId="5C511AC5">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1台</w:t>
            </w:r>
          </w:p>
        </w:tc>
      </w:tr>
      <w:tr w14:paraId="75A5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02" w:type="dxa"/>
            <w:noWrap w:val="0"/>
            <w:vAlign w:val="top"/>
          </w:tcPr>
          <w:p w14:paraId="08B98A51">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3930" w:type="dxa"/>
            <w:noWrap w:val="0"/>
            <w:vAlign w:val="top"/>
          </w:tcPr>
          <w:p w14:paraId="48C3A818">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A33公寓</w:t>
            </w:r>
            <w:r>
              <w:rPr>
                <w:rFonts w:hint="eastAsia" w:ascii="仿宋" w:hAnsi="仿宋" w:eastAsia="仿宋" w:cs="仿宋"/>
                <w:kern w:val="0"/>
                <w:sz w:val="24"/>
                <w:szCs w:val="24"/>
              </w:rPr>
              <w:t>楼</w:t>
            </w:r>
          </w:p>
        </w:tc>
        <w:tc>
          <w:tcPr>
            <w:tcW w:w="2846" w:type="dxa"/>
            <w:noWrap w:val="0"/>
            <w:vAlign w:val="top"/>
          </w:tcPr>
          <w:p w14:paraId="38BEFE80">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2台</w:t>
            </w:r>
          </w:p>
        </w:tc>
      </w:tr>
      <w:tr w14:paraId="340E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02" w:type="dxa"/>
            <w:noWrap w:val="0"/>
            <w:vAlign w:val="top"/>
          </w:tcPr>
          <w:p w14:paraId="6246321E">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3930" w:type="dxa"/>
            <w:noWrap w:val="0"/>
            <w:vAlign w:val="top"/>
          </w:tcPr>
          <w:p w14:paraId="307122A8">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A34公寓</w:t>
            </w:r>
            <w:r>
              <w:rPr>
                <w:rFonts w:hint="eastAsia" w:ascii="仿宋" w:hAnsi="仿宋" w:eastAsia="仿宋" w:cs="仿宋"/>
                <w:kern w:val="0"/>
                <w:sz w:val="24"/>
                <w:szCs w:val="24"/>
              </w:rPr>
              <w:t>楼</w:t>
            </w:r>
          </w:p>
        </w:tc>
        <w:tc>
          <w:tcPr>
            <w:tcW w:w="2846" w:type="dxa"/>
            <w:noWrap w:val="0"/>
            <w:vAlign w:val="top"/>
          </w:tcPr>
          <w:p w14:paraId="339195C6">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台</w:t>
            </w:r>
          </w:p>
        </w:tc>
      </w:tr>
      <w:tr w14:paraId="61AC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02" w:type="dxa"/>
            <w:noWrap w:val="0"/>
            <w:vAlign w:val="top"/>
          </w:tcPr>
          <w:p w14:paraId="575333AF">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3930" w:type="dxa"/>
            <w:noWrap w:val="0"/>
            <w:vAlign w:val="top"/>
          </w:tcPr>
          <w:p w14:paraId="222BEB2F">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A35公寓</w:t>
            </w:r>
            <w:r>
              <w:rPr>
                <w:rFonts w:hint="eastAsia" w:ascii="仿宋" w:hAnsi="仿宋" w:eastAsia="仿宋" w:cs="仿宋"/>
                <w:kern w:val="0"/>
                <w:sz w:val="24"/>
                <w:szCs w:val="24"/>
              </w:rPr>
              <w:t>楼</w:t>
            </w:r>
          </w:p>
        </w:tc>
        <w:tc>
          <w:tcPr>
            <w:tcW w:w="2846" w:type="dxa"/>
            <w:noWrap w:val="0"/>
            <w:vAlign w:val="top"/>
          </w:tcPr>
          <w:p w14:paraId="17CD91CD">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台</w:t>
            </w:r>
          </w:p>
        </w:tc>
      </w:tr>
      <w:tr w14:paraId="1550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02" w:type="dxa"/>
            <w:noWrap w:val="0"/>
            <w:vAlign w:val="top"/>
          </w:tcPr>
          <w:p w14:paraId="05DA3EB0">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3930" w:type="dxa"/>
            <w:noWrap w:val="0"/>
            <w:vAlign w:val="top"/>
          </w:tcPr>
          <w:p w14:paraId="5849BFC3">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A36公寓</w:t>
            </w:r>
            <w:r>
              <w:rPr>
                <w:rFonts w:hint="eastAsia" w:ascii="仿宋" w:hAnsi="仿宋" w:eastAsia="仿宋" w:cs="仿宋"/>
                <w:kern w:val="0"/>
                <w:sz w:val="24"/>
                <w:szCs w:val="24"/>
              </w:rPr>
              <w:t>楼</w:t>
            </w:r>
          </w:p>
        </w:tc>
        <w:tc>
          <w:tcPr>
            <w:tcW w:w="2846" w:type="dxa"/>
            <w:noWrap w:val="0"/>
            <w:vAlign w:val="top"/>
          </w:tcPr>
          <w:p w14:paraId="2123F007">
            <w:pPr>
              <w:widowControl/>
              <w:spacing w:line="44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台</w:t>
            </w:r>
          </w:p>
        </w:tc>
      </w:tr>
      <w:tr w14:paraId="4EFB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432" w:type="dxa"/>
            <w:gridSpan w:val="2"/>
            <w:noWrap w:val="0"/>
            <w:vAlign w:val="top"/>
          </w:tcPr>
          <w:p w14:paraId="2652C7EC">
            <w:pPr>
              <w:widowControl/>
              <w:spacing w:line="440" w:lineRule="atLeast"/>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合计</w:t>
            </w:r>
          </w:p>
        </w:tc>
        <w:tc>
          <w:tcPr>
            <w:tcW w:w="2846" w:type="dxa"/>
            <w:noWrap w:val="0"/>
            <w:vAlign w:val="top"/>
          </w:tcPr>
          <w:p w14:paraId="5F58B162">
            <w:pPr>
              <w:widowControl/>
              <w:spacing w:line="440" w:lineRule="atLeast"/>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lang w:val="en-US" w:eastAsia="zh-CN"/>
              </w:rPr>
              <w:t>18</w:t>
            </w:r>
            <w:r>
              <w:rPr>
                <w:rFonts w:hint="eastAsia" w:ascii="仿宋" w:hAnsi="仿宋" w:eastAsia="仿宋" w:cs="仿宋"/>
                <w:b/>
                <w:bCs/>
                <w:kern w:val="0"/>
                <w:sz w:val="24"/>
                <w:szCs w:val="24"/>
                <w:highlight w:val="none"/>
              </w:rPr>
              <w:t>台</w:t>
            </w:r>
          </w:p>
        </w:tc>
      </w:tr>
    </w:tbl>
    <w:p w14:paraId="44CC269A">
      <w:pPr>
        <w:pStyle w:val="9"/>
        <w:numPr>
          <w:ilvl w:val="0"/>
          <w:numId w:val="1"/>
        </w:numPr>
        <w:rPr>
          <w:rFonts w:hint="eastAsia" w:ascii="仿宋" w:hAnsi="仿宋" w:eastAsia="仿宋" w:cs="仿宋"/>
          <w:kern w:val="0"/>
          <w:sz w:val="28"/>
          <w:szCs w:val="28"/>
          <w:highlight w:val="none"/>
        </w:rPr>
      </w:pPr>
      <w:r>
        <w:rPr>
          <w:rFonts w:hint="eastAsia" w:ascii="仿宋" w:hAnsi="仿宋" w:eastAsia="仿宋" w:cs="仿宋"/>
          <w:b/>
          <w:bCs/>
          <w:kern w:val="0"/>
          <w:sz w:val="28"/>
          <w:szCs w:val="28"/>
          <w:lang w:val="en-US" w:eastAsia="zh-CN"/>
        </w:rPr>
        <w:t>报价要求：</w:t>
      </w:r>
      <w:r>
        <w:rPr>
          <w:rFonts w:hint="eastAsia" w:ascii="仿宋" w:hAnsi="仿宋" w:eastAsia="仿宋" w:cs="仿宋"/>
          <w:kern w:val="0"/>
          <w:sz w:val="28"/>
          <w:szCs w:val="28"/>
          <w:highlight w:val="none"/>
          <w:lang w:val="en-US" w:eastAsia="zh-CN"/>
        </w:rPr>
        <w:t>年</w:t>
      </w:r>
      <w:r>
        <w:rPr>
          <w:rFonts w:hint="eastAsia" w:ascii="仿宋" w:hAnsi="仿宋" w:eastAsia="仿宋" w:cs="仿宋"/>
          <w:kern w:val="0"/>
          <w:sz w:val="28"/>
          <w:szCs w:val="28"/>
          <w:highlight w:val="none"/>
        </w:rPr>
        <w:t>租赁费不得低于2</w:t>
      </w:r>
      <w:r>
        <w:rPr>
          <w:rFonts w:hint="eastAsia" w:ascii="仿宋" w:hAnsi="仿宋" w:eastAsia="仿宋" w:cs="仿宋"/>
          <w:kern w:val="0"/>
          <w:sz w:val="28"/>
          <w:szCs w:val="28"/>
          <w:highlight w:val="none"/>
          <w:lang w:val="en-US" w:eastAsia="zh-CN"/>
        </w:rPr>
        <w:t>70</w:t>
      </w:r>
      <w:r>
        <w:rPr>
          <w:rFonts w:hint="eastAsia" w:ascii="仿宋" w:hAnsi="仿宋" w:eastAsia="仿宋" w:cs="仿宋"/>
          <w:kern w:val="0"/>
          <w:sz w:val="28"/>
          <w:szCs w:val="28"/>
          <w:highlight w:val="none"/>
        </w:rPr>
        <w:t>00元/台，若报价低于此费用，按无效</w:t>
      </w:r>
      <w:r>
        <w:rPr>
          <w:rFonts w:hint="eastAsia" w:ascii="仿宋" w:hAnsi="仿宋" w:eastAsia="仿宋" w:cs="仿宋"/>
          <w:kern w:val="0"/>
          <w:sz w:val="28"/>
          <w:szCs w:val="28"/>
          <w:highlight w:val="none"/>
          <w:lang w:val="en-US" w:eastAsia="zh-CN"/>
        </w:rPr>
        <w:t>报价</w:t>
      </w:r>
      <w:r>
        <w:rPr>
          <w:rFonts w:hint="eastAsia" w:ascii="仿宋" w:hAnsi="仿宋" w:eastAsia="仿宋" w:cs="仿宋"/>
          <w:kern w:val="0"/>
          <w:sz w:val="28"/>
          <w:szCs w:val="28"/>
          <w:highlight w:val="none"/>
        </w:rPr>
        <w:t>处理。</w:t>
      </w:r>
      <w:bookmarkStart w:id="3" w:name="_GoBack"/>
      <w:bookmarkEnd w:id="3"/>
    </w:p>
    <w:p w14:paraId="6B4030A6">
      <w:pPr>
        <w:pStyle w:val="9"/>
        <w:numPr>
          <w:ilvl w:val="0"/>
          <w:numId w:val="1"/>
        </w:numPr>
        <w:rPr>
          <w:rFonts w:hint="eastAsia" w:ascii="仿宋" w:hAnsi="仿宋" w:eastAsia="仿宋" w:cs="仿宋"/>
          <w:kern w:val="0"/>
          <w:sz w:val="28"/>
          <w:szCs w:val="28"/>
          <w:highlight w:val="none"/>
          <w:lang w:val="en-US" w:eastAsia="zh-CN"/>
        </w:rPr>
      </w:pPr>
      <w:r>
        <w:rPr>
          <w:rFonts w:hint="eastAsia" w:ascii="宋体" w:hAnsi="宋体" w:cs="宋体"/>
          <w:b/>
          <w:bCs/>
          <w:color w:val="FF0000"/>
          <w:kern w:val="0"/>
          <w:sz w:val="28"/>
          <w:szCs w:val="28"/>
          <w:highlight w:val="none"/>
          <w:lang w:val="en-US" w:eastAsia="zh-CN"/>
        </w:rPr>
        <w:t>保证金要求</w:t>
      </w:r>
      <w:r>
        <w:rPr>
          <w:rFonts w:hint="eastAsia" w:ascii="宋体" w:hAnsi="宋体" w:cs="宋体"/>
          <w:b/>
          <w:bCs/>
          <w:kern w:val="0"/>
          <w:sz w:val="28"/>
          <w:szCs w:val="28"/>
          <w:highlight w:val="none"/>
          <w:lang w:val="en-US" w:eastAsia="zh-CN"/>
        </w:rPr>
        <w:t>：</w:t>
      </w:r>
      <w:r>
        <w:rPr>
          <w:rFonts w:hint="eastAsia" w:ascii="仿宋" w:hAnsi="仿宋" w:eastAsia="仿宋" w:cs="仿宋"/>
          <w:kern w:val="0"/>
          <w:sz w:val="28"/>
          <w:szCs w:val="28"/>
          <w:highlight w:val="none"/>
          <w:lang w:val="en-US" w:eastAsia="zh-CN"/>
        </w:rPr>
        <w:t>本项目中标单位除10000元投标保证金，在中标后自动转为履约保证金外，进场前另需缴纳10000元履约保证金。合同到期后经需求单位同意无息退还。</w:t>
      </w:r>
    </w:p>
    <w:p w14:paraId="779EB48E">
      <w:pPr>
        <w:widowControl/>
        <w:numPr>
          <w:ilvl w:val="0"/>
          <w:numId w:val="0"/>
        </w:numPr>
        <w:shd w:val="clear" w:color="auto" w:fill="FFFFFF"/>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四、管理</w:t>
      </w:r>
      <w:r>
        <w:rPr>
          <w:rFonts w:hint="eastAsia" w:ascii="仿宋" w:hAnsi="仿宋" w:eastAsia="仿宋" w:cs="仿宋"/>
          <w:b/>
          <w:bCs/>
          <w:kern w:val="0"/>
          <w:sz w:val="28"/>
          <w:szCs w:val="28"/>
        </w:rPr>
        <w:t>要求</w:t>
      </w:r>
    </w:p>
    <w:p w14:paraId="7FE0F814">
      <w:pPr>
        <w:widowControl/>
        <w:shd w:val="clear" w:color="auto" w:fill="FFFFFF"/>
        <w:spacing w:line="360" w:lineRule="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日常管理</w:t>
      </w:r>
    </w:p>
    <w:p w14:paraId="5678EC17">
      <w:pPr>
        <w:widowControl/>
        <w:shd w:val="clear" w:color="auto" w:fill="FFFFFF"/>
        <w:spacing w:line="360" w:lineRule="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售货机</w:t>
      </w:r>
      <w:r>
        <w:rPr>
          <w:rFonts w:hint="eastAsia" w:ascii="仿宋" w:hAnsi="仿宋" w:eastAsia="仿宋" w:cs="仿宋"/>
          <w:kern w:val="0"/>
          <w:sz w:val="28"/>
          <w:szCs w:val="28"/>
          <w:lang w:val="en-US" w:eastAsia="zh-CN"/>
        </w:rPr>
        <w:t>的购置和水电安装</w:t>
      </w:r>
      <w:r>
        <w:rPr>
          <w:rFonts w:hint="eastAsia" w:ascii="仿宋" w:hAnsi="仿宋" w:eastAsia="仿宋" w:cs="仿宋"/>
          <w:kern w:val="0"/>
          <w:sz w:val="28"/>
          <w:szCs w:val="28"/>
        </w:rPr>
        <w:t>由中标方负责。</w:t>
      </w:r>
    </w:p>
    <w:p w14:paraId="23FA239F">
      <w:pPr>
        <w:widowControl/>
        <w:shd w:val="clear" w:color="auto" w:fill="FFFFFF"/>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2．所售商品为知名品牌，不得出售低劣、过期商品。一旦发现或有学生投诉，一次处罚1000元，第二次处罚2000元，三次即取消其经营资格。</w:t>
      </w:r>
    </w:p>
    <w:p w14:paraId="57B9B85C">
      <w:pPr>
        <w:widowControl/>
        <w:shd w:val="clear" w:color="auto" w:fill="FFFFFF"/>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3．所售商品明码标价，价格不得高于</w:t>
      </w:r>
      <w:r>
        <w:rPr>
          <w:rFonts w:hint="eastAsia" w:ascii="仿宋" w:hAnsi="仿宋" w:eastAsia="仿宋" w:cs="仿宋"/>
          <w:kern w:val="0"/>
          <w:sz w:val="28"/>
          <w:szCs w:val="28"/>
          <w:lang w:val="en-US" w:eastAsia="zh-CN"/>
        </w:rPr>
        <w:t>校内</w:t>
      </w:r>
      <w:r>
        <w:rPr>
          <w:rFonts w:hint="eastAsia" w:ascii="仿宋" w:hAnsi="仿宋" w:eastAsia="仿宋" w:cs="仿宋"/>
          <w:kern w:val="0"/>
          <w:sz w:val="28"/>
          <w:szCs w:val="28"/>
        </w:rPr>
        <w:t>超市</w:t>
      </w:r>
      <w:r>
        <w:rPr>
          <w:rFonts w:hint="eastAsia" w:ascii="仿宋" w:hAnsi="仿宋" w:eastAsia="仿宋" w:cs="仿宋"/>
          <w:kern w:val="0"/>
          <w:sz w:val="28"/>
          <w:szCs w:val="28"/>
          <w:lang w:val="en-US" w:eastAsia="zh-CN"/>
        </w:rPr>
        <w:t>同等商铺</w:t>
      </w:r>
      <w:r>
        <w:rPr>
          <w:rFonts w:hint="eastAsia" w:ascii="仿宋" w:hAnsi="仿宋" w:eastAsia="仿宋" w:cs="仿宋"/>
          <w:kern w:val="0"/>
          <w:sz w:val="28"/>
          <w:szCs w:val="28"/>
        </w:rPr>
        <w:t>价格。</w:t>
      </w:r>
    </w:p>
    <w:p w14:paraId="228CD944">
      <w:pPr>
        <w:widowControl/>
        <w:shd w:val="clear" w:color="auto" w:fill="FFFFFF"/>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4．经营期间，中标方必须遵守甲方有关管理制度和规定，不得有任何欺诈行为，不得与学生发现生争吵和打骂。</w:t>
      </w:r>
    </w:p>
    <w:p w14:paraId="6DC8B6D9">
      <w:pPr>
        <w:widowControl/>
        <w:shd w:val="clear" w:color="auto" w:fill="FFFFFF"/>
        <w:spacing w:line="360" w:lineRule="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发生重大事故或因管理、服务方面师生反映强烈</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产生重大舆情或造成恶劣影响的</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学校</w:t>
      </w:r>
      <w:r>
        <w:rPr>
          <w:rFonts w:hint="eastAsia" w:ascii="仿宋" w:hAnsi="仿宋" w:eastAsia="仿宋" w:cs="仿宋"/>
          <w:kern w:val="0"/>
          <w:sz w:val="28"/>
          <w:szCs w:val="28"/>
        </w:rPr>
        <w:t>有权终止协议，由此所造成的损失由</w:t>
      </w:r>
      <w:r>
        <w:rPr>
          <w:rFonts w:hint="eastAsia" w:ascii="仿宋" w:hAnsi="仿宋" w:eastAsia="仿宋" w:cs="仿宋"/>
          <w:kern w:val="0"/>
          <w:sz w:val="28"/>
          <w:szCs w:val="28"/>
          <w:lang w:val="en-US" w:eastAsia="zh-CN"/>
        </w:rPr>
        <w:t>中标方</w:t>
      </w:r>
      <w:r>
        <w:rPr>
          <w:rFonts w:hint="eastAsia" w:ascii="仿宋" w:hAnsi="仿宋" w:eastAsia="仿宋" w:cs="仿宋"/>
          <w:kern w:val="0"/>
          <w:sz w:val="28"/>
          <w:szCs w:val="28"/>
        </w:rPr>
        <w:t>承担。</w:t>
      </w:r>
    </w:p>
    <w:p w14:paraId="10ABA221">
      <w:pPr>
        <w:widowControl/>
        <w:shd w:val="clear" w:color="auto" w:fill="FFFFFF"/>
        <w:spacing w:line="360" w:lineRule="auto"/>
        <w:rPr>
          <w:rFonts w:hint="default" w:ascii="仿宋" w:hAnsi="仿宋" w:eastAsia="仿宋" w:cs="仿宋"/>
          <w:b/>
          <w:bCs/>
          <w:kern w:val="0"/>
          <w:sz w:val="28"/>
          <w:szCs w:val="28"/>
          <w:lang w:val="en-US" w:eastAsia="zh-CN"/>
        </w:rPr>
      </w:pP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二</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安全管理</w:t>
      </w:r>
    </w:p>
    <w:p w14:paraId="39B0793B">
      <w:pPr>
        <w:widowControl/>
        <w:shd w:val="clear" w:color="auto" w:fill="FFFFFF"/>
        <w:spacing w:line="360" w:lineRule="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．中标方在校经营期间所发生的一切事故所引起的经济与法律问题完全由</w:t>
      </w:r>
      <w:r>
        <w:rPr>
          <w:rFonts w:hint="eastAsia" w:ascii="仿宋" w:hAnsi="仿宋" w:eastAsia="仿宋" w:cs="仿宋"/>
          <w:kern w:val="0"/>
          <w:sz w:val="28"/>
          <w:szCs w:val="28"/>
          <w:lang w:val="en-US" w:eastAsia="zh-CN"/>
        </w:rPr>
        <w:t>中标方</w:t>
      </w:r>
      <w:r>
        <w:rPr>
          <w:rFonts w:hint="eastAsia" w:ascii="仿宋" w:hAnsi="仿宋" w:eastAsia="仿宋" w:cs="仿宋"/>
          <w:kern w:val="0"/>
          <w:sz w:val="28"/>
          <w:szCs w:val="28"/>
        </w:rPr>
        <w:t>负责解决，</w:t>
      </w:r>
      <w:r>
        <w:rPr>
          <w:rFonts w:hint="eastAsia" w:ascii="仿宋" w:hAnsi="仿宋" w:eastAsia="仿宋" w:cs="仿宋"/>
          <w:kern w:val="0"/>
          <w:sz w:val="28"/>
          <w:szCs w:val="28"/>
          <w:lang w:val="en-US" w:eastAsia="zh-CN"/>
        </w:rPr>
        <w:t>并</w:t>
      </w:r>
      <w:r>
        <w:rPr>
          <w:rFonts w:hint="eastAsia" w:ascii="仿宋" w:hAnsi="仿宋" w:eastAsia="仿宋" w:cs="仿宋"/>
          <w:kern w:val="0"/>
          <w:sz w:val="28"/>
          <w:szCs w:val="28"/>
        </w:rPr>
        <w:t>承担全部责任。</w:t>
      </w:r>
    </w:p>
    <w:p w14:paraId="1F709E91">
      <w:pPr>
        <w:widowControl/>
        <w:shd w:val="clear" w:color="auto" w:fill="FFFFFF"/>
        <w:spacing w:line="360" w:lineRule="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．中标方要按照</w:t>
      </w:r>
      <w:r>
        <w:rPr>
          <w:rFonts w:hint="eastAsia" w:ascii="仿宋" w:hAnsi="仿宋" w:eastAsia="仿宋" w:cs="仿宋"/>
          <w:kern w:val="0"/>
          <w:sz w:val="28"/>
          <w:szCs w:val="28"/>
          <w:lang w:val="en-US" w:eastAsia="zh-CN"/>
        </w:rPr>
        <w:t>主管单位</w:t>
      </w:r>
      <w:r>
        <w:rPr>
          <w:rFonts w:hint="eastAsia" w:ascii="仿宋" w:hAnsi="仿宋" w:eastAsia="仿宋" w:cs="仿宋"/>
          <w:kern w:val="0"/>
          <w:sz w:val="28"/>
          <w:szCs w:val="28"/>
        </w:rPr>
        <w:t>和校方规定做好消防、用电、车辆行驶安全。</w:t>
      </w:r>
    </w:p>
    <w:p w14:paraId="2FB84DF1">
      <w:pPr>
        <w:widowControl/>
        <w:shd w:val="clear" w:color="auto" w:fill="FFFFFF"/>
        <w:spacing w:line="360" w:lineRule="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 中标方定期对</w:t>
      </w:r>
      <w:r>
        <w:rPr>
          <w:rFonts w:hint="eastAsia" w:ascii="仿宋" w:hAnsi="仿宋" w:eastAsia="仿宋" w:cs="仿宋"/>
          <w:kern w:val="0"/>
          <w:sz w:val="28"/>
          <w:szCs w:val="28"/>
          <w:lang w:val="en-US" w:eastAsia="zh-CN"/>
        </w:rPr>
        <w:t>设备</w:t>
      </w:r>
      <w:r>
        <w:rPr>
          <w:rFonts w:hint="eastAsia" w:ascii="仿宋" w:hAnsi="仿宋" w:eastAsia="仿宋" w:cs="仿宋"/>
          <w:kern w:val="0"/>
          <w:sz w:val="28"/>
          <w:szCs w:val="28"/>
        </w:rPr>
        <w:t>进行</w:t>
      </w:r>
      <w:r>
        <w:rPr>
          <w:rFonts w:hint="eastAsia" w:ascii="仿宋" w:hAnsi="仿宋" w:eastAsia="仿宋" w:cs="仿宋"/>
          <w:kern w:val="0"/>
          <w:sz w:val="28"/>
          <w:szCs w:val="28"/>
          <w:lang w:val="en-US" w:eastAsia="zh-CN"/>
        </w:rPr>
        <w:t>检修、清洁</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确保设备运行正常，无任何安全隐患</w:t>
      </w:r>
      <w:r>
        <w:rPr>
          <w:rFonts w:hint="eastAsia" w:ascii="仿宋" w:hAnsi="仿宋" w:eastAsia="仿宋" w:cs="仿宋"/>
          <w:kern w:val="0"/>
          <w:sz w:val="28"/>
          <w:szCs w:val="28"/>
        </w:rPr>
        <w:t>。</w:t>
      </w:r>
    </w:p>
    <w:p w14:paraId="090BC9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93705"/>
    <w:multiLevelType w:val="singleLevel"/>
    <w:tmpl w:val="EA99370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GUzY2RmNDBkMTgzMzJjMGRiZjYzODgwZDhlNDAifQ=="/>
  </w:docVars>
  <w:rsids>
    <w:rsidRoot w:val="4B2C6C38"/>
    <w:rsid w:val="4B2C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5">
    <w:name w:val="List"/>
    <w:basedOn w:val="1"/>
    <w:qFormat/>
    <w:uiPriority w:val="0"/>
    <w:pPr>
      <w:ind w:left="420" w:hanging="420"/>
    </w:pPr>
    <w:rPr>
      <w:sz w:val="28"/>
      <w:szCs w:val="20"/>
    </w:rPr>
  </w:style>
  <w:style w:type="paragraph" w:styleId="6">
    <w:name w:val="Normal (Web)"/>
    <w:basedOn w:val="1"/>
    <w:qFormat/>
    <w:uiPriority w:val="0"/>
    <w:pPr>
      <w:spacing w:beforeAutospacing="1" w:afterAutospacing="1"/>
      <w:jc w:val="left"/>
    </w:pPr>
    <w:rPr>
      <w:kern w:val="0"/>
      <w:sz w:val="24"/>
    </w:rPr>
  </w:style>
  <w:style w:type="paragraph" w:customStyle="1" w:styleId="9">
    <w:name w:val="正文_0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2024-07-22T08:22:00Z</dcterms:created>
  <dc:creator>神光毓逍遥</dc:creator>
  <cp:lastModifiedBy>神光毓逍遥</cp:lastModifiedBy>
  <dcterms:modified xsi:type="dcterms:W3CDTF">2024-07-22T08:24:34Z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9DF3376208CC4B1E881980F8A02C8D3F_11</vt:lpwstr>
  </property>
</Properties>
</file>