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D2033">
      <w:pPr>
        <w:spacing w:after="312" w:afterLines="100" w:line="540" w:lineRule="exact"/>
        <w:jc w:val="both"/>
        <w:rPr>
          <w:rFonts w:hint="default"/>
          <w:lang w:val="en-US" w:eastAsia="zh-CN"/>
        </w:rPr>
      </w:pPr>
      <w:bookmarkStart w:id="0" w:name="_Toc229456846"/>
      <w: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  <w:t>附件：宿舍阳台水龙头及配套设施换新项目采购需求</w:t>
      </w:r>
      <w:bookmarkStart w:id="4" w:name="_GoBack"/>
      <w:bookmarkEnd w:id="4"/>
    </w:p>
    <w:bookmarkEnd w:id="0"/>
    <w:p w14:paraId="6E011572">
      <w:pPr>
        <w:widowControl/>
        <w:shd w:val="clear" w:color="auto" w:fill="FFFFFF"/>
        <w:spacing w:line="440" w:lineRule="atLeast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一、基本情况</w:t>
      </w:r>
    </w:p>
    <w:p w14:paraId="79E6CC97"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left="0" w:right="0" w:firstLine="43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1" w:name="OLE_LINK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安徽信息工程学院学生宿舍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A17/18两栋楼宇阳台为开放型结构</w:t>
      </w:r>
      <w:r>
        <w:rPr>
          <w:rFonts w:hint="default" w:ascii="仿宋_GB2312" w:hAnsi="微软雅黑" w:eastAsia="仿宋_GB2312" w:cs="仿宋_GB2312"/>
          <w:sz w:val="28"/>
          <w:szCs w:val="28"/>
        </w:rPr>
        <w:t>，</w:t>
      </w:r>
      <w:bookmarkEnd w:id="1"/>
      <w:r>
        <w:rPr>
          <w:rFonts w:hint="default" w:ascii="仿宋_GB2312" w:hAnsi="微软雅黑" w:eastAsia="仿宋_GB2312" w:cs="仿宋_GB2312"/>
          <w:sz w:val="28"/>
          <w:szCs w:val="28"/>
        </w:rPr>
        <w:t>严冬季节</w:t>
      </w:r>
      <w:r>
        <w:rPr>
          <w:rFonts w:hint="eastAsia" w:ascii="仿宋_GB2312" w:hAnsi="微软雅黑" w:eastAsia="仿宋_GB2312" w:cs="仿宋_GB2312"/>
          <w:sz w:val="28"/>
          <w:szCs w:val="28"/>
          <w:lang w:val="en-US" w:eastAsia="zh-CN"/>
        </w:rPr>
        <w:t>易发生阳台</w:t>
      </w:r>
      <w:r>
        <w:rPr>
          <w:rFonts w:hint="default" w:ascii="仿宋_GB2312" w:hAnsi="微软雅黑" w:eastAsia="仿宋_GB2312" w:cs="仿宋_GB2312"/>
          <w:sz w:val="28"/>
          <w:szCs w:val="28"/>
        </w:rPr>
        <w:t>爆管问题</w:t>
      </w:r>
      <w:r>
        <w:rPr>
          <w:rFonts w:hint="eastAsia" w:ascii="仿宋_GB2312" w:hAnsi="微软雅黑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微软雅黑" w:eastAsia="仿宋_GB2312" w:cs="仿宋_GB2312"/>
          <w:sz w:val="28"/>
          <w:szCs w:val="28"/>
          <w:lang w:val="en-US" w:eastAsia="zh-CN"/>
        </w:rPr>
        <w:t>两栋楼宇共679间宿舍，2700多名学生居住，为保障学生良好的居住环境，现需对阳台水龙头及配套设施予以改善</w:t>
      </w:r>
      <w:r>
        <w:rPr>
          <w:rFonts w:hint="default" w:ascii="仿宋_GB2312" w:hAnsi="微软雅黑" w:eastAsia="仿宋_GB2312" w:cs="仿宋_GB2312"/>
          <w:sz w:val="28"/>
          <w:szCs w:val="28"/>
        </w:rPr>
        <w:t>。</w:t>
      </w:r>
    </w:p>
    <w:p w14:paraId="67AFEE4C">
      <w:pPr>
        <w:widowControl/>
        <w:shd w:val="clear" w:color="auto" w:fill="FFFFFF"/>
        <w:spacing w:line="360" w:lineRule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二、质保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期限</w:t>
      </w:r>
    </w:p>
    <w:p w14:paraId="6DCB7FB0">
      <w:pPr>
        <w:widowControl/>
        <w:shd w:val="clear" w:color="auto" w:fill="FFFFFF"/>
        <w:spacing w:line="360" w:lineRule="auto"/>
        <w:ind w:firstLine="48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2" w:name="OLE_LINK4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质保</w:t>
      </w:r>
      <w:r>
        <w:rPr>
          <w:rFonts w:hint="eastAsia" w:ascii="仿宋" w:hAnsi="仿宋" w:eastAsia="仿宋" w:cs="仿宋"/>
          <w:kern w:val="0"/>
          <w:sz w:val="28"/>
          <w:szCs w:val="28"/>
        </w:rPr>
        <w:t>期限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年。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从签订合同之日起算。</w:t>
      </w:r>
    </w:p>
    <w:bookmarkEnd w:id="2"/>
    <w:p w14:paraId="3131F97E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390" w:lineRule="atLeast"/>
        <w:ind w:right="0" w:rightChars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三、需求明细</w:t>
      </w:r>
    </w:p>
    <w:p w14:paraId="21125874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390" w:lineRule="atLeast"/>
        <w:ind w:right="0" w:rightChars="0"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bookmarkStart w:id="3" w:name="OLE_LINK5"/>
      <w:r>
        <w:rPr>
          <w:rFonts w:hint="eastAsia" w:ascii="仿宋" w:hAnsi="仿宋" w:eastAsia="仿宋" w:cs="仿宋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保障</w:t>
      </w:r>
      <w:r>
        <w:rPr>
          <w:rFonts w:hint="eastAsia" w:ascii="仿宋" w:hAnsi="仿宋" w:eastAsia="仿宋" w:cs="仿宋"/>
          <w:kern w:val="0"/>
          <w:sz w:val="28"/>
          <w:szCs w:val="28"/>
        </w:rPr>
        <w:t>学生生活服务需求，计划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更换A17/18两栋楼宇阳台水龙头及配套设施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 w14:paraId="47657255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390" w:lineRule="atLeast"/>
        <w:ind w:right="0" w:rightChars="0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材料名称及品牌</w:t>
      </w:r>
    </w:p>
    <w:tbl>
      <w:tblPr>
        <w:tblStyle w:val="8"/>
        <w:tblW w:w="0" w:type="auto"/>
        <w:tblInd w:w="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865"/>
        <w:gridCol w:w="1218"/>
        <w:gridCol w:w="4400"/>
      </w:tblGrid>
      <w:tr w14:paraId="6D0C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BF2EB3C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 w14:paraId="4B88945E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218" w:type="dxa"/>
          </w:tcPr>
          <w:p w14:paraId="1AA8DB72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4400" w:type="dxa"/>
          </w:tcPr>
          <w:p w14:paraId="04338DA0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</w:tr>
      <w:tr w14:paraId="2EE1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</w:tcPr>
          <w:p w14:paraId="45221338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37B624D1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阳台水龙头</w:t>
            </w:r>
          </w:p>
        </w:tc>
        <w:tc>
          <w:tcPr>
            <w:tcW w:w="1218" w:type="dxa"/>
          </w:tcPr>
          <w:p w14:paraId="3EA02574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九牧</w:t>
            </w:r>
          </w:p>
        </w:tc>
        <w:tc>
          <w:tcPr>
            <w:tcW w:w="4400" w:type="dxa"/>
          </w:tcPr>
          <w:p w14:paraId="1B2EB535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单冷出水、全铜材质、表面水镀</w:t>
            </w:r>
          </w:p>
        </w:tc>
      </w:tr>
      <w:tr w14:paraId="67A8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9027FF7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0EA86C67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三角阀</w:t>
            </w:r>
          </w:p>
        </w:tc>
        <w:tc>
          <w:tcPr>
            <w:tcW w:w="1218" w:type="dxa"/>
          </w:tcPr>
          <w:p w14:paraId="5C77FB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九牧</w:t>
            </w:r>
          </w:p>
        </w:tc>
        <w:tc>
          <w:tcPr>
            <w:tcW w:w="4400" w:type="dxa"/>
          </w:tcPr>
          <w:p w14:paraId="529100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单冷、主体材质铜</w:t>
            </w:r>
          </w:p>
        </w:tc>
      </w:tr>
      <w:tr w14:paraId="25F3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A8CE396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2BCD174E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软管</w:t>
            </w:r>
          </w:p>
        </w:tc>
        <w:tc>
          <w:tcPr>
            <w:tcW w:w="1218" w:type="dxa"/>
          </w:tcPr>
          <w:p w14:paraId="1451C7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九牧</w:t>
            </w:r>
          </w:p>
        </w:tc>
        <w:tc>
          <w:tcPr>
            <w:tcW w:w="4400" w:type="dxa"/>
          </w:tcPr>
          <w:p w14:paraId="1A1488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50cm、</w:t>
            </w:r>
          </w:p>
        </w:tc>
      </w:tr>
      <w:tr w14:paraId="4C8F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5331351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744E8478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卫生间水龙头</w:t>
            </w:r>
          </w:p>
        </w:tc>
        <w:tc>
          <w:tcPr>
            <w:tcW w:w="1218" w:type="dxa"/>
          </w:tcPr>
          <w:p w14:paraId="05AE01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九牧</w:t>
            </w:r>
          </w:p>
        </w:tc>
        <w:tc>
          <w:tcPr>
            <w:tcW w:w="4400" w:type="dxa"/>
          </w:tcPr>
          <w:p w14:paraId="374779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390" w:lineRule="atLeast"/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单冷、主体材质铜</w:t>
            </w:r>
          </w:p>
        </w:tc>
      </w:tr>
      <w:bookmarkEnd w:id="3"/>
    </w:tbl>
    <w:p w14:paraId="694F835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390" w:lineRule="atLeast"/>
        <w:ind w:right="0" w:rightChars="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更换数量分布</w:t>
      </w:r>
    </w:p>
    <w:tbl>
      <w:tblPr>
        <w:tblStyle w:val="7"/>
        <w:tblW w:w="0" w:type="auto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922"/>
        <w:gridCol w:w="2841"/>
      </w:tblGrid>
      <w:tr w14:paraId="2128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02" w:type="dxa"/>
            <w:noWrap w:val="0"/>
            <w:vAlign w:val="top"/>
          </w:tcPr>
          <w:p w14:paraId="41023E87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30" w:type="dxa"/>
            <w:noWrap w:val="0"/>
            <w:vAlign w:val="top"/>
          </w:tcPr>
          <w:p w14:paraId="2FE4157B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改造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846" w:type="dxa"/>
            <w:noWrap w:val="0"/>
            <w:vAlign w:val="top"/>
          </w:tcPr>
          <w:p w14:paraId="52F31530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</w:t>
            </w:r>
          </w:p>
        </w:tc>
      </w:tr>
      <w:tr w14:paraId="64D7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02" w:type="dxa"/>
            <w:noWrap w:val="0"/>
            <w:vAlign w:val="top"/>
          </w:tcPr>
          <w:p w14:paraId="64821077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930" w:type="dxa"/>
            <w:noWrap w:val="0"/>
            <w:vAlign w:val="top"/>
          </w:tcPr>
          <w:p w14:paraId="21C5F09D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A17学生宿舍</w:t>
            </w:r>
          </w:p>
        </w:tc>
        <w:tc>
          <w:tcPr>
            <w:tcW w:w="2846" w:type="dxa"/>
            <w:noWrap w:val="0"/>
            <w:vAlign w:val="top"/>
          </w:tcPr>
          <w:p w14:paraId="3A218D33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337套</w:t>
            </w:r>
          </w:p>
        </w:tc>
      </w:tr>
      <w:tr w14:paraId="21F2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02" w:type="dxa"/>
            <w:noWrap w:val="0"/>
            <w:vAlign w:val="top"/>
          </w:tcPr>
          <w:p w14:paraId="73CC3D31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930" w:type="dxa"/>
            <w:noWrap w:val="0"/>
            <w:vAlign w:val="top"/>
          </w:tcPr>
          <w:p w14:paraId="58856611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A18学生宿舍</w:t>
            </w:r>
          </w:p>
        </w:tc>
        <w:tc>
          <w:tcPr>
            <w:tcW w:w="2846" w:type="dxa"/>
            <w:noWrap w:val="0"/>
            <w:vAlign w:val="top"/>
          </w:tcPr>
          <w:p w14:paraId="47D3E0FD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342套</w:t>
            </w:r>
          </w:p>
        </w:tc>
      </w:tr>
      <w:tr w14:paraId="6AA3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432" w:type="dxa"/>
            <w:gridSpan w:val="2"/>
            <w:noWrap w:val="0"/>
            <w:vAlign w:val="top"/>
          </w:tcPr>
          <w:p w14:paraId="0A2366BC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2846" w:type="dxa"/>
            <w:noWrap w:val="0"/>
            <w:vAlign w:val="top"/>
          </w:tcPr>
          <w:p w14:paraId="1AD612C2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679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</w:tbl>
    <w:p w14:paraId="2C819E68">
      <w:pPr>
        <w:pStyle w:val="10"/>
        <w:numPr>
          <w:ilvl w:val="0"/>
          <w:numId w:val="0"/>
        </w:num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报价要求：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含材料费、运输费、装卸费、拆除与安装费、税费等所有相关费用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。</w:t>
      </w:r>
    </w:p>
    <w:p w14:paraId="0C161F17">
      <w:pPr>
        <w:pStyle w:val="10"/>
        <w:numPr>
          <w:ilvl w:val="0"/>
          <w:numId w:val="0"/>
        </w:numPr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完成时间要求：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签订合同之日起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10个日历天内完成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。</w:t>
      </w:r>
    </w:p>
    <w:p w14:paraId="3737859C"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四、管理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要求</w:t>
      </w:r>
    </w:p>
    <w:p w14:paraId="610F3D7F">
      <w:pPr>
        <w:widowControl/>
        <w:shd w:val="clear" w:color="auto" w:fill="FFFFFF"/>
        <w:spacing w:line="360" w:lineRule="auto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材料管理</w:t>
      </w:r>
    </w:p>
    <w:p w14:paraId="4EA0FE46">
      <w:pPr>
        <w:widowControl/>
        <w:shd w:val="clear" w:color="auto" w:fill="FFFFFF"/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1.所有拆除下来的原水龙头、软管和三角阀均由中标方自行处置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6199F219">
      <w:pPr>
        <w:widowControl/>
        <w:shd w:val="clear" w:color="auto" w:fill="FFFFFF"/>
        <w:spacing w:line="360" w:lineRule="auto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安全管理</w:t>
      </w:r>
    </w:p>
    <w:p w14:paraId="5297E4C4">
      <w:pPr>
        <w:widowControl/>
        <w:shd w:val="clear" w:color="auto" w:fill="FFFFFF"/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．中标方在校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施工</w:t>
      </w:r>
      <w:r>
        <w:rPr>
          <w:rFonts w:hint="eastAsia" w:ascii="仿宋" w:hAnsi="仿宋" w:eastAsia="仿宋" w:cs="仿宋"/>
          <w:kern w:val="0"/>
          <w:sz w:val="28"/>
          <w:szCs w:val="28"/>
        </w:rPr>
        <w:t>期间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对宿舍设施及学生财物造成损坏</w:t>
      </w:r>
      <w:r>
        <w:rPr>
          <w:rFonts w:hint="eastAsia" w:ascii="仿宋" w:hAnsi="仿宋" w:eastAsia="仿宋" w:cs="仿宋"/>
          <w:kern w:val="0"/>
          <w:sz w:val="28"/>
          <w:szCs w:val="28"/>
        </w:rPr>
        <w:t>所引起的经济与法律问题完全由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中标方</w:t>
      </w:r>
      <w:r>
        <w:rPr>
          <w:rFonts w:hint="eastAsia" w:ascii="仿宋" w:hAnsi="仿宋" w:eastAsia="仿宋" w:cs="仿宋"/>
          <w:kern w:val="0"/>
          <w:sz w:val="28"/>
          <w:szCs w:val="28"/>
        </w:rPr>
        <w:t>负责解决，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kern w:val="0"/>
          <w:sz w:val="28"/>
          <w:szCs w:val="28"/>
        </w:rPr>
        <w:t>承担全部责任。</w:t>
      </w:r>
    </w:p>
    <w:p w14:paraId="47EF9A41">
      <w:pPr>
        <w:widowControl/>
        <w:shd w:val="clear" w:color="auto" w:fill="FFFFFF"/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．中标方要按照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主管单位</w:t>
      </w:r>
      <w:r>
        <w:rPr>
          <w:rFonts w:hint="eastAsia" w:ascii="仿宋" w:hAnsi="仿宋" w:eastAsia="仿宋" w:cs="仿宋"/>
          <w:kern w:val="0"/>
          <w:sz w:val="28"/>
          <w:szCs w:val="28"/>
        </w:rPr>
        <w:t>和校方规定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做好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施工安全、消防安全</w:t>
      </w:r>
      <w:r>
        <w:rPr>
          <w:rFonts w:hint="eastAsia" w:ascii="仿宋" w:hAnsi="仿宋" w:eastAsia="仿宋" w:cs="仿宋"/>
          <w:kern w:val="0"/>
          <w:sz w:val="28"/>
          <w:szCs w:val="28"/>
        </w:rPr>
        <w:t>、车辆行驶安全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5D63427A"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五、其他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要求</w:t>
      </w:r>
    </w:p>
    <w:p w14:paraId="0885FA87">
      <w:pPr>
        <w:widowControl/>
        <w:shd w:val="clear" w:color="auto" w:fill="FFFFFF"/>
        <w:spacing w:line="360" w:lineRule="auto"/>
        <w:rPr>
          <w:rFonts w:hint="default" w:ascii="仿宋" w:hAnsi="仿宋" w:eastAsia="仿宋" w:cs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售后保障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：4小时内响应。24小时内处理完成。</w:t>
      </w:r>
    </w:p>
    <w:p w14:paraId="38F82C78">
      <w:pPr>
        <w:widowControl/>
        <w:shd w:val="clear" w:color="auto" w:fill="FFFFFF"/>
        <w:spacing w:line="360" w:lineRule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供货及安装周期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：10天。</w:t>
      </w:r>
    </w:p>
    <w:p w14:paraId="090B1883">
      <w:pPr>
        <w:widowControl/>
        <w:shd w:val="clear" w:color="auto" w:fill="FFFFFF"/>
        <w:spacing w:line="360" w:lineRule="auto"/>
        <w:rPr>
          <w:rFonts w:hint="default" w:ascii="仿宋" w:hAnsi="仿宋" w:eastAsia="仿宋" w:cs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请投标方现场勘查并参考学校提供样品，合理报价；材料送样经需求单位确认合格后封存，作为材料验收依据。</w:t>
      </w:r>
    </w:p>
    <w:p w14:paraId="36B0784B"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四）提供产品合格证、授权代理书等相关证明材料。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GUzY2RmNDBkMTgzMzJjMGRiZjYzODgwZDhlNDAifQ=="/>
  </w:docVars>
  <w:rsids>
    <w:rsidRoot w:val="47712FF8"/>
    <w:rsid w:val="477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pPr>
      <w:ind w:left="420" w:hanging="420"/>
    </w:pPr>
    <w:rPr>
      <w:sz w:val="28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2024-08-15T02:55:00Z</dcterms:created>
  <dc:creator>神光毓逍遥</dc:creator>
  <cp:lastModifiedBy>神光毓逍遥</cp:lastModifiedBy>
  <dcterms:modified xsi:type="dcterms:W3CDTF">2024-08-15T02:59:11Z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92CDC9D20C8E4EC89DC0C58A2B9CA713_11</vt:lpwstr>
  </property>
</Properties>
</file>