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03E20">
      <w:pPr>
        <w:rPr>
          <w:rFonts w:hint="default" w:eastAsia="宋体"/>
          <w:lang w:val="en-US" w:eastAsia="zh-CN"/>
        </w:rPr>
      </w:pPr>
      <w:bookmarkStart w:id="0" w:name="_GoBack"/>
      <w:r>
        <w:rPr>
          <w:rFonts w:hint="eastAsia"/>
          <w:sz w:val="24"/>
          <w:szCs w:val="24"/>
          <w:lang w:val="en-US" w:eastAsia="zh-CN"/>
        </w:rPr>
        <w:t>附件二</w:t>
      </w:r>
      <w:r>
        <w:rPr>
          <w:rFonts w:hint="eastAsia"/>
          <w:lang w:val="en-US" w:eastAsia="zh-CN"/>
        </w:rPr>
        <w:t>：</w:t>
      </w:r>
      <w:r>
        <w:rPr>
          <w:rFonts w:hint="eastAsia" w:ascii="华文中宋" w:hAnsi="华文中宋" w:eastAsia="华文中宋" w:cs="华文中宋"/>
          <w:bCs/>
          <w:color w:val="000000"/>
          <w:kern w:val="36"/>
          <w:sz w:val="24"/>
          <w:szCs w:val="24"/>
          <w:lang w:val="en-US" w:eastAsia="zh-CN"/>
        </w:rPr>
        <w:t>2025-2027年药品供应商入围项目服务要求</w:t>
      </w:r>
      <w:bookmarkEnd w:id="0"/>
    </w:p>
    <w:p w14:paraId="1FBF1B9B">
      <w:pPr>
        <w:pStyle w:val="5"/>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b/>
          <w:bCs/>
          <w:color w:val="auto"/>
          <w:sz w:val="28"/>
          <w:szCs w:val="28"/>
          <w:lang w:eastAsia="zh-CN" w:bidi="zh-TW"/>
        </w:rPr>
      </w:pPr>
      <w:r>
        <w:rPr>
          <w:rFonts w:hint="eastAsia" w:ascii="宋体" w:hAnsi="宋体" w:cs="宋体"/>
          <w:b/>
          <w:bCs/>
          <w:color w:val="auto"/>
          <w:sz w:val="28"/>
          <w:szCs w:val="28"/>
          <w:lang w:eastAsia="zh-CN" w:bidi="zh-TW"/>
        </w:rPr>
        <w:t>一、</w:t>
      </w:r>
      <w:r>
        <w:rPr>
          <w:rFonts w:hint="eastAsia" w:ascii="宋体" w:hAnsi="宋体" w:cs="宋体"/>
          <w:b/>
          <w:bCs/>
          <w:color w:val="auto"/>
          <w:sz w:val="28"/>
          <w:szCs w:val="28"/>
          <w:lang w:val="en-US" w:eastAsia="zh-CN" w:bidi="zh-TW"/>
        </w:rPr>
        <w:t>技术要求</w:t>
      </w:r>
    </w:p>
    <w:p w14:paraId="56316632">
      <w:pPr>
        <w:widowControl/>
        <w:numPr>
          <w:ilvl w:val="0"/>
          <w:numId w:val="0"/>
        </w:numPr>
        <w:shd w:val="clear" w:color="auto" w:fill="FFFFFF"/>
        <w:spacing w:line="360" w:lineRule="auto"/>
        <w:ind w:firstLine="480" w:firstLineChars="200"/>
        <w:jc w:val="both"/>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（一）中标单位资质</w:t>
      </w:r>
    </w:p>
    <w:p w14:paraId="67CB6471">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1.中标单位</w:t>
      </w:r>
      <w:r>
        <w:rPr>
          <w:rFonts w:hint="eastAsia" w:ascii="宋体" w:hAnsi="宋体" w:eastAsia="宋体" w:cs="宋体"/>
          <w:color w:val="auto"/>
          <w:sz w:val="24"/>
          <w:highlight w:val="none"/>
        </w:rPr>
        <w:t>必须符合《中华人民共和国政府采购法》第二十二条要求</w:t>
      </w:r>
      <w:r>
        <w:rPr>
          <w:rFonts w:hint="eastAsia" w:ascii="宋体" w:hAnsi="宋体" w:eastAsia="宋体" w:cs="宋体"/>
          <w:color w:val="auto"/>
          <w:sz w:val="24"/>
          <w:highlight w:val="none"/>
          <w:lang w:eastAsia="zh-CN"/>
        </w:rPr>
        <w:t>；</w:t>
      </w:r>
    </w:p>
    <w:p w14:paraId="74178631">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依法取得药品经营许可证并通过GSP认证的药品批发企业或依法取得药品生产许可证并通过GMP认证的药品生产企业；</w:t>
      </w:r>
    </w:p>
    <w:p w14:paraId="3EDCDCB4">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3.中标单位</w:t>
      </w:r>
      <w:r>
        <w:rPr>
          <w:rFonts w:hint="eastAsia" w:ascii="宋体" w:hAnsi="宋体" w:eastAsia="宋体" w:cs="宋体"/>
          <w:color w:val="auto"/>
          <w:sz w:val="24"/>
          <w:highlight w:val="none"/>
        </w:rPr>
        <w:t>是在中华人民共和国境内注册取得营业执照的独立法人或其他组织，具有相应经营范围；</w:t>
      </w:r>
    </w:p>
    <w:p w14:paraId="5A8DD70A">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（二）药品价格</w:t>
      </w:r>
    </w:p>
    <w:p w14:paraId="00511247">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val="zh-CN"/>
        </w:rPr>
        <w:t>依照约定的价格提供产品，价格依据为：</w:t>
      </w:r>
      <w:r>
        <w:rPr>
          <w:rFonts w:hint="eastAsia" w:ascii="宋体" w:hAnsi="宋体" w:eastAsia="宋体" w:cs="宋体"/>
          <w:color w:val="auto"/>
          <w:sz w:val="24"/>
          <w:highlight w:val="none"/>
          <w:lang w:val="en-US" w:eastAsia="zh-CN"/>
        </w:rPr>
        <w:t>安徽信息工程学院药品</w:t>
      </w:r>
      <w:r>
        <w:rPr>
          <w:rFonts w:hint="eastAsia" w:ascii="宋体" w:hAnsi="宋体" w:eastAsia="宋体" w:cs="宋体"/>
          <w:color w:val="auto"/>
          <w:sz w:val="24"/>
          <w:highlight w:val="none"/>
          <w:lang w:val="zh-CN"/>
        </w:rPr>
        <w:t>采购清单目录。</w:t>
      </w:r>
    </w:p>
    <w:p w14:paraId="2ED23CD7">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当国家统一发布下调药品价格文件，招标价高于下调价时应当执行下调价。</w:t>
      </w:r>
    </w:p>
    <w:p w14:paraId="5A715B1A">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r>
        <w:rPr>
          <w:rFonts w:hint="eastAsia" w:ascii="宋体" w:hAnsi="宋体" w:eastAsia="宋体" w:cs="宋体"/>
          <w:b/>
          <w:bCs/>
          <w:color w:val="auto"/>
          <w:sz w:val="24"/>
          <w:highlight w:val="none"/>
          <w:lang w:val="zh-CN" w:eastAsia="zh-CN"/>
        </w:rPr>
        <w:t>中标价即为结算价，</w:t>
      </w:r>
      <w:r>
        <w:rPr>
          <w:rFonts w:hint="eastAsia" w:ascii="宋体" w:hAnsi="宋体" w:eastAsia="宋体" w:cs="宋体"/>
          <w:b/>
          <w:bCs/>
          <w:color w:val="auto"/>
          <w:sz w:val="24"/>
          <w:highlight w:val="none"/>
          <w:lang w:val="en-US" w:eastAsia="zh-CN"/>
        </w:rPr>
        <w:t>中标单位</w:t>
      </w:r>
      <w:r>
        <w:rPr>
          <w:rFonts w:hint="eastAsia" w:ascii="宋体" w:hAnsi="宋体" w:eastAsia="宋体" w:cs="宋体"/>
          <w:b/>
          <w:bCs/>
          <w:color w:val="auto"/>
          <w:sz w:val="24"/>
          <w:highlight w:val="none"/>
          <w:lang w:val="zh-CN" w:eastAsia="zh-CN"/>
        </w:rPr>
        <w:t>须执行合同约定的药品价格，不得无故调整药价。因自然灾害、某种传染病大流行等导致的部分药品价格一次性上涨，幅度小于或等于3%时由投标人自行消化，若价格涨幅过大，可向</w:t>
      </w:r>
      <w:r>
        <w:rPr>
          <w:rFonts w:hint="eastAsia" w:ascii="宋体" w:hAnsi="宋体" w:eastAsia="宋体" w:cs="宋体"/>
          <w:b/>
          <w:bCs/>
          <w:color w:val="auto"/>
          <w:sz w:val="24"/>
          <w:highlight w:val="none"/>
          <w:lang w:val="en-US" w:eastAsia="zh-CN"/>
        </w:rPr>
        <w:t>我校</w:t>
      </w:r>
      <w:r>
        <w:rPr>
          <w:rFonts w:hint="eastAsia" w:ascii="宋体" w:hAnsi="宋体" w:eastAsia="宋体" w:cs="宋体"/>
          <w:b/>
          <w:bCs/>
          <w:color w:val="auto"/>
          <w:sz w:val="24"/>
          <w:highlight w:val="none"/>
          <w:lang w:val="zh-CN" w:eastAsia="zh-CN"/>
        </w:rPr>
        <w:t>申请调价，经</w:t>
      </w:r>
      <w:r>
        <w:rPr>
          <w:rFonts w:hint="eastAsia" w:ascii="宋体" w:hAnsi="宋体" w:eastAsia="宋体" w:cs="宋体"/>
          <w:b/>
          <w:bCs/>
          <w:color w:val="auto"/>
          <w:sz w:val="24"/>
          <w:highlight w:val="none"/>
          <w:lang w:val="en-US" w:eastAsia="zh-CN"/>
        </w:rPr>
        <w:t>我校</w:t>
      </w:r>
      <w:r>
        <w:rPr>
          <w:rFonts w:hint="eastAsia" w:ascii="宋体" w:hAnsi="宋体" w:eastAsia="宋体" w:cs="宋体"/>
          <w:b/>
          <w:bCs/>
          <w:color w:val="auto"/>
          <w:sz w:val="24"/>
          <w:highlight w:val="none"/>
          <w:lang w:val="zh-CN" w:eastAsia="zh-CN"/>
        </w:rPr>
        <w:t>市场调查确认后，可支付涨幅大于3%的部分，但总体涨价幅度不能大于市场价格涨幅，因国家政策性调价等原因发生较大幅度的价格变动，以调价文件确定的价格为准。</w:t>
      </w:r>
    </w:p>
    <w:p w14:paraId="65DF5E5B">
      <w:pPr>
        <w:widowControl/>
        <w:numPr>
          <w:ilvl w:val="0"/>
          <w:numId w:val="0"/>
        </w:numPr>
        <w:shd w:val="clear" w:color="auto" w:fill="FFFFFF"/>
        <w:spacing w:line="360" w:lineRule="auto"/>
        <w:ind w:firstLine="480" w:firstLineChars="200"/>
        <w:jc w:val="left"/>
        <w:rPr>
          <w:rFonts w:hint="eastAsia" w:ascii="宋体" w:hAnsi="宋体"/>
          <w:color w:val="auto"/>
          <w:sz w:val="24"/>
          <w:highlight w:val="none"/>
          <w:lang w:val="zh-CN" w:eastAsia="zh-CN"/>
        </w:rPr>
      </w:pPr>
      <w:r>
        <w:rPr>
          <w:rFonts w:hint="eastAsia" w:ascii="宋体" w:hAnsi="宋体"/>
          <w:color w:val="auto"/>
          <w:sz w:val="24"/>
          <w:highlight w:val="none"/>
          <w:lang w:val="en-US" w:eastAsia="zh-CN"/>
        </w:rPr>
        <w:t>（三）药品</w:t>
      </w:r>
      <w:r>
        <w:rPr>
          <w:rFonts w:hint="eastAsia" w:ascii="宋体" w:hAnsi="宋体"/>
          <w:color w:val="auto"/>
          <w:sz w:val="24"/>
          <w:highlight w:val="none"/>
          <w:lang w:val="zh-CN" w:eastAsia="zh-CN"/>
        </w:rPr>
        <w:t>质量与批件</w:t>
      </w:r>
    </w:p>
    <w:p w14:paraId="753FA057">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1.中标单位提供的产品应符合产品生产国与中华人民共和国国家药品质量标准和相关质量要求，药品的包装、标识、标签、说明书等应符合国家相关规定，并具备国家药品管理部门的相关批件。</w:t>
      </w:r>
    </w:p>
    <w:p w14:paraId="0C4B686D">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2.质保要求：按国家行业的相关规定提供质保。质保期时间自产品最终验收合格双方签字并交付使用之日起算。</w:t>
      </w:r>
    </w:p>
    <w:p w14:paraId="6F0FE7CE">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3.根据GSP的有关规定，供应商需签订《药品质量保证协议书》。</w:t>
      </w:r>
    </w:p>
    <w:p w14:paraId="5A8FF123">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中标单位提供的产品，必须保证该产品剩余的有效期在十二个月以上，否则校方有权拒收，中标单位应在1个工作日内予以补货。如遇特殊情况，可根据实际用量收取产品维持医疗保障工作的正常开展，中标单位应根据要求及时完成补货工作。</w:t>
      </w:r>
    </w:p>
    <w:p w14:paraId="3BF07AC9">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（四）药品订购</w:t>
      </w:r>
    </w:p>
    <w:p w14:paraId="4CE4EEDE">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1.如需中标单位供应产品，应当以电话、传真或邮件等方式向中标单位提出供货的品规、数量、收货地点、交货时间以及要求中标单位作出回复的时间等。</w:t>
      </w:r>
    </w:p>
    <w:p w14:paraId="58D65128">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2.中标单位应在招标方要求的时间内确认是否供货。</w:t>
      </w:r>
    </w:p>
    <w:p w14:paraId="498D73F1">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（五）配送及交付</w:t>
      </w:r>
    </w:p>
    <w:p w14:paraId="74666B91">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1.中标单位保证产品包装符合《中华人民共和国药品管理法》及国家各级药品监督管理机构颁布的行政法规及药品运输要求。</w:t>
      </w:r>
    </w:p>
    <w:p w14:paraId="7A68344C">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当招标方采购药品数量达到整件（箱、盒、瓶）时，中标单位应提供未拆封的整件药品。对于不足整件的部分，应提供相应的大包装药品。若同一批次药品出现不同批号，中标单位必须提供纸质文件说明原因，否则招标方有权拒收。</w:t>
      </w:r>
    </w:p>
    <w:p w14:paraId="27275313">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3.中标单位必须依据药品采购清单所规定的品名、规格、厂家、价格，并按照每月计划的数量按时供货。中标单位应按照招标方反馈的药品计划必须完成当月计划的100％。</w:t>
      </w:r>
    </w:p>
    <w:p w14:paraId="15E85A59">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整个药品采购周期内，中标单位应按照要求进行供货。根据需要，招标方每月向中标单位提交本月的药品采购计划。中标单位在接计划7日内须按计划要求送至指定地点，由招标方工作人员负责验收入库。特殊药品和急需药品应按要求4小时内送货。</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t>5.中标单位在计划配送时，如某一药品因厂家停产或其它原因造成缺货或规格、品牌或生产厂家与协议不一致时，需出具厂家有效书面证明原件和复印件（原件验证后归还）。如有特殊原因需延迟供货，需纸质说明供货时间。</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highlight w:val="none"/>
          <w:lang w:val="en-US" w:eastAsia="zh-CN"/>
        </w:rPr>
        <w:t>（六）药品验收</w:t>
      </w:r>
    </w:p>
    <w:p w14:paraId="356700C8">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药品验收时，若发现药品包装破损、污染、挤压变形、短少；剩余有效期不足十二个月；规格、品牌或生产厂家与合同约定不一致等情况，招标方有权拒收并要求中标方及时更换药品。中标单位需在接到通知后1天内响应。</w:t>
      </w:r>
    </w:p>
    <w:p w14:paraId="6D4518E3">
      <w:pPr>
        <w:widowControl/>
        <w:numPr>
          <w:ilvl w:val="0"/>
          <w:numId w:val="0"/>
        </w:numPr>
        <w:shd w:val="clear" w:color="auto" w:fill="FFFFFF"/>
        <w:spacing w:line="360" w:lineRule="auto"/>
        <w:ind w:firstLine="240" w:firstLineChars="100"/>
        <w:jc w:val="left"/>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（七）付款方式</w:t>
      </w:r>
    </w:p>
    <w:p w14:paraId="1C6F70A2">
      <w:pPr>
        <w:widowControl/>
        <w:numPr>
          <w:ilvl w:val="0"/>
          <w:numId w:val="0"/>
        </w:numPr>
        <w:shd w:val="clear" w:color="auto" w:fill="FFFFFF"/>
        <w:autoSpaceDE/>
        <w:autoSpaceDN/>
        <w:spacing w:line="360" w:lineRule="auto"/>
        <w:ind w:firstLine="480" w:firstLineChars="200"/>
        <w:jc w:val="left"/>
        <w:rPr>
          <w:rFonts w:hint="eastAsia" w:ascii="宋体" w:hAnsi="宋体" w:eastAsia="宋体" w:cs="宋体"/>
          <w:b w:val="0"/>
          <w:color w:val="auto"/>
          <w:sz w:val="24"/>
          <w:szCs w:val="22"/>
          <w:highlight w:val="none"/>
          <w:u w:val="none"/>
          <w:lang w:val="en-US"/>
        </w:rPr>
      </w:pPr>
      <w:r>
        <w:rPr>
          <w:rFonts w:hint="eastAsia" w:ascii="宋体" w:hAnsi="宋体" w:eastAsia="宋体" w:cs="宋体"/>
          <w:color w:val="auto"/>
          <w:sz w:val="24"/>
          <w:szCs w:val="22"/>
          <w:highlight w:val="none"/>
          <w:lang w:val="en-US" w:eastAsia="zh-CN"/>
        </w:rPr>
        <w:t>招标方</w:t>
      </w:r>
      <w:r>
        <w:rPr>
          <w:rFonts w:hint="eastAsia" w:ascii="宋体" w:hAnsi="宋体" w:eastAsia="宋体" w:cs="宋体"/>
          <w:color w:val="auto"/>
          <w:sz w:val="24"/>
          <w:szCs w:val="22"/>
          <w:highlight w:val="none"/>
          <w:lang w:val="en-US"/>
        </w:rPr>
        <w:t>的付款期限（付款天数，即</w:t>
      </w:r>
      <w:r>
        <w:rPr>
          <w:rFonts w:hint="eastAsia" w:ascii="宋体" w:hAnsi="宋体" w:eastAsia="宋体" w:cs="宋体"/>
          <w:color w:val="auto"/>
          <w:sz w:val="24"/>
          <w:szCs w:val="22"/>
          <w:highlight w:val="none"/>
          <w:lang w:val="en-US" w:eastAsia="zh-CN"/>
        </w:rPr>
        <w:t>招标方</w:t>
      </w:r>
      <w:r>
        <w:rPr>
          <w:rFonts w:hint="eastAsia" w:ascii="宋体" w:hAnsi="宋体" w:eastAsia="宋体" w:cs="宋体"/>
          <w:color w:val="auto"/>
          <w:sz w:val="24"/>
          <w:szCs w:val="22"/>
          <w:highlight w:val="none"/>
          <w:lang w:val="en-US"/>
        </w:rPr>
        <w:t>自验收合格之日起至</w:t>
      </w:r>
      <w:r>
        <w:rPr>
          <w:rFonts w:hint="eastAsia" w:ascii="宋体" w:hAnsi="宋体" w:eastAsia="宋体" w:cs="宋体"/>
          <w:color w:val="auto"/>
          <w:sz w:val="24"/>
          <w:szCs w:val="22"/>
          <w:highlight w:val="none"/>
          <w:lang w:val="en-US" w:eastAsia="zh-CN"/>
        </w:rPr>
        <w:t>招标方</w:t>
      </w:r>
      <w:r>
        <w:rPr>
          <w:rFonts w:hint="eastAsia" w:ascii="宋体" w:hAnsi="宋体" w:eastAsia="宋体" w:cs="宋体"/>
          <w:color w:val="auto"/>
          <w:sz w:val="24"/>
          <w:szCs w:val="22"/>
          <w:highlight w:val="none"/>
          <w:lang w:val="en-US"/>
        </w:rPr>
        <w:t>向</w:t>
      </w:r>
      <w:r>
        <w:rPr>
          <w:rFonts w:hint="eastAsia" w:ascii="宋体" w:hAnsi="宋体" w:eastAsia="宋体" w:cs="宋体"/>
          <w:color w:val="auto"/>
          <w:sz w:val="24"/>
          <w:szCs w:val="22"/>
          <w:highlight w:val="none"/>
          <w:lang w:val="en-US" w:eastAsia="zh-CN"/>
        </w:rPr>
        <w:t>中标单位</w:t>
      </w:r>
      <w:r>
        <w:rPr>
          <w:rFonts w:hint="eastAsia" w:ascii="宋体" w:hAnsi="宋体" w:eastAsia="宋体" w:cs="宋体"/>
          <w:color w:val="auto"/>
          <w:sz w:val="24"/>
          <w:szCs w:val="22"/>
          <w:highlight w:val="none"/>
          <w:lang w:val="en-US"/>
        </w:rPr>
        <w:t>指定的收款账户付款并到账的天数）为</w:t>
      </w:r>
      <w:r>
        <w:rPr>
          <w:rFonts w:hint="eastAsia" w:ascii="宋体" w:hAnsi="宋体" w:eastAsia="宋体" w:cs="宋体"/>
          <w:b w:val="0"/>
          <w:color w:val="auto"/>
          <w:sz w:val="24"/>
          <w:szCs w:val="22"/>
          <w:highlight w:val="none"/>
          <w:u w:val="none"/>
          <w:lang w:val="en-US"/>
        </w:rPr>
        <w:t>45</w:t>
      </w:r>
      <w:r>
        <w:rPr>
          <w:rFonts w:hint="eastAsia" w:ascii="宋体" w:hAnsi="宋体" w:eastAsia="宋体" w:cs="宋体"/>
          <w:color w:val="auto"/>
          <w:sz w:val="24"/>
          <w:szCs w:val="22"/>
          <w:highlight w:val="none"/>
          <w:lang w:val="en-US"/>
        </w:rPr>
        <w:t>天（大写：</w:t>
      </w:r>
      <w:r>
        <w:rPr>
          <w:rFonts w:hint="eastAsia" w:ascii="宋体" w:hAnsi="宋体" w:eastAsia="宋体" w:cs="宋体"/>
          <w:color w:val="auto"/>
          <w:sz w:val="24"/>
          <w:szCs w:val="22"/>
          <w:highlight w:val="none"/>
          <w:u w:val="none"/>
          <w:lang w:val="en-US"/>
        </w:rPr>
        <w:t>肆拾伍天</w:t>
      </w:r>
      <w:r>
        <w:rPr>
          <w:rFonts w:hint="eastAsia" w:ascii="宋体" w:hAnsi="宋体" w:eastAsia="宋体" w:cs="宋体"/>
          <w:color w:val="auto"/>
          <w:sz w:val="24"/>
          <w:szCs w:val="22"/>
          <w:highlight w:val="none"/>
          <w:lang w:val="en-US"/>
        </w:rPr>
        <w:t>）。每次</w:t>
      </w:r>
      <w:r>
        <w:rPr>
          <w:rFonts w:hint="eastAsia" w:ascii="宋体" w:hAnsi="宋体" w:eastAsia="宋体" w:cs="宋体"/>
          <w:color w:val="auto"/>
          <w:sz w:val="24"/>
          <w:szCs w:val="22"/>
          <w:highlight w:val="none"/>
          <w:lang w:val="en-US" w:eastAsia="zh-CN"/>
        </w:rPr>
        <w:t>招标方</w:t>
      </w:r>
      <w:r>
        <w:rPr>
          <w:rFonts w:hint="eastAsia" w:ascii="宋体" w:hAnsi="宋体" w:eastAsia="宋体" w:cs="宋体"/>
          <w:color w:val="auto"/>
          <w:sz w:val="24"/>
          <w:szCs w:val="22"/>
          <w:highlight w:val="none"/>
          <w:lang w:val="en-US"/>
        </w:rPr>
        <w:t>药品验收后48小时内，</w:t>
      </w:r>
      <w:r>
        <w:rPr>
          <w:rFonts w:hint="eastAsia" w:ascii="宋体" w:hAnsi="宋体" w:eastAsia="宋体" w:cs="宋体"/>
          <w:color w:val="auto"/>
          <w:sz w:val="24"/>
          <w:szCs w:val="22"/>
          <w:highlight w:val="none"/>
          <w:lang w:val="en-US" w:eastAsia="zh-CN"/>
        </w:rPr>
        <w:t>中标单位</w:t>
      </w:r>
      <w:r>
        <w:rPr>
          <w:rFonts w:hint="eastAsia" w:ascii="宋体" w:hAnsi="宋体" w:eastAsia="宋体" w:cs="宋体"/>
          <w:color w:val="auto"/>
          <w:sz w:val="24"/>
          <w:szCs w:val="22"/>
          <w:highlight w:val="none"/>
          <w:lang w:val="en-US"/>
        </w:rPr>
        <w:t>需向</w:t>
      </w:r>
      <w:r>
        <w:rPr>
          <w:rFonts w:hint="eastAsia" w:ascii="宋体" w:hAnsi="宋体" w:eastAsia="宋体" w:cs="宋体"/>
          <w:color w:val="auto"/>
          <w:sz w:val="24"/>
          <w:szCs w:val="22"/>
          <w:highlight w:val="none"/>
          <w:lang w:val="en-US" w:eastAsia="zh-CN"/>
        </w:rPr>
        <w:t>招标方</w:t>
      </w:r>
      <w:r>
        <w:rPr>
          <w:rFonts w:hint="eastAsia" w:ascii="宋体" w:hAnsi="宋体" w:eastAsia="宋体" w:cs="宋体"/>
          <w:color w:val="auto"/>
          <w:sz w:val="24"/>
          <w:szCs w:val="22"/>
          <w:highlight w:val="none"/>
          <w:lang w:val="en-US"/>
        </w:rPr>
        <w:t>提供本次应付款总额的等额发票，否则顺延付款的后果由</w:t>
      </w:r>
      <w:r>
        <w:rPr>
          <w:rFonts w:hint="eastAsia" w:ascii="宋体" w:hAnsi="宋体" w:eastAsia="宋体" w:cs="宋体"/>
          <w:color w:val="auto"/>
          <w:sz w:val="24"/>
          <w:szCs w:val="22"/>
          <w:highlight w:val="none"/>
          <w:lang w:val="en-US" w:eastAsia="zh-CN"/>
        </w:rPr>
        <w:t>中标单位</w:t>
      </w:r>
      <w:r>
        <w:rPr>
          <w:rFonts w:hint="eastAsia" w:ascii="宋体" w:hAnsi="宋体" w:eastAsia="宋体" w:cs="宋体"/>
          <w:color w:val="auto"/>
          <w:sz w:val="24"/>
          <w:szCs w:val="22"/>
          <w:highlight w:val="none"/>
          <w:lang w:val="en-US"/>
        </w:rPr>
        <w:t>自行承担。</w:t>
      </w:r>
    </w:p>
    <w:p w14:paraId="3ED52E5B">
      <w:pPr>
        <w:widowControl/>
        <w:numPr>
          <w:ilvl w:val="0"/>
          <w:numId w:val="0"/>
        </w:numPr>
        <w:shd w:val="clear" w:color="auto" w:fill="FFFFFF"/>
        <w:spacing w:line="360" w:lineRule="auto"/>
        <w:ind w:firstLine="240" w:firstLineChars="100"/>
        <w:jc w:val="left"/>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（八）退换货</w:t>
      </w:r>
    </w:p>
    <w:p w14:paraId="5B672556">
      <w:pPr>
        <w:widowControl/>
        <w:numPr>
          <w:ilvl w:val="0"/>
          <w:numId w:val="0"/>
        </w:numPr>
        <w:shd w:val="clear" w:color="auto" w:fill="FFFFFF"/>
        <w:spacing w:line="360" w:lineRule="auto"/>
        <w:ind w:firstLine="420"/>
        <w:jc w:val="left"/>
        <w:rPr>
          <w:rFonts w:hint="eastAsia" w:ascii="宋体" w:hAnsi="宋体" w:eastAsia="宋体" w:cs="宋体"/>
          <w:color w:val="auto"/>
          <w:sz w:val="24"/>
          <w:szCs w:val="22"/>
          <w:highlight w:val="none"/>
          <w:lang w:val="en-US"/>
        </w:rPr>
      </w:pP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lang w:val="en-US"/>
        </w:rPr>
        <w:t>如产品不符合国家相应质量标准，</w:t>
      </w:r>
      <w:r>
        <w:rPr>
          <w:rFonts w:hint="eastAsia" w:ascii="宋体" w:hAnsi="宋体" w:eastAsia="宋体" w:cs="宋体"/>
          <w:color w:val="auto"/>
          <w:sz w:val="24"/>
          <w:szCs w:val="22"/>
          <w:highlight w:val="none"/>
          <w:lang w:val="en-US" w:eastAsia="zh-CN"/>
        </w:rPr>
        <w:t>中标单位</w:t>
      </w:r>
      <w:r>
        <w:rPr>
          <w:rFonts w:hint="eastAsia" w:ascii="宋体" w:hAnsi="宋体" w:eastAsia="宋体" w:cs="宋体"/>
          <w:color w:val="auto"/>
          <w:sz w:val="24"/>
          <w:szCs w:val="22"/>
          <w:highlight w:val="none"/>
          <w:lang w:val="en-US"/>
        </w:rPr>
        <w:t>应无条件退换货并承担由此产生的一切费用（包括但不限于第三者的索偿、诉讼费、律师费等）。</w:t>
      </w:r>
    </w:p>
    <w:p w14:paraId="70D62B9F">
      <w:pPr>
        <w:widowControl/>
        <w:numPr>
          <w:ilvl w:val="0"/>
          <w:numId w:val="0"/>
        </w:numPr>
        <w:shd w:val="clear" w:color="auto" w:fill="FFFFFF"/>
        <w:spacing w:line="360" w:lineRule="auto"/>
        <w:ind w:firstLine="420"/>
        <w:jc w:val="left"/>
        <w:rPr>
          <w:rFonts w:hint="eastAsia" w:eastAsiaTheme="minorEastAsia"/>
          <w:color w:val="auto"/>
          <w:highlight w:val="none"/>
          <w:lang w:val="en-US" w:eastAsia="zh-CN"/>
        </w:rPr>
      </w:pPr>
      <w:r>
        <w:rPr>
          <w:rFonts w:hint="eastAsia" w:ascii="宋体" w:hAnsi="宋体" w:eastAsia="宋体" w:cs="宋体"/>
          <w:color w:val="auto"/>
          <w:sz w:val="24"/>
          <w:szCs w:val="22"/>
          <w:highlight w:val="none"/>
          <w:lang w:val="en-US" w:eastAsia="zh-CN"/>
        </w:rPr>
        <w:t>2.不满足验收条件的，</w:t>
      </w:r>
      <w:r>
        <w:rPr>
          <w:rFonts w:hint="eastAsia" w:asciiTheme="minorEastAsia" w:hAnsiTheme="minorEastAsia"/>
          <w:color w:val="auto"/>
          <w:sz w:val="24"/>
          <w:highlight w:val="none"/>
          <w:lang w:val="en-US" w:eastAsia="zh-CN"/>
        </w:rPr>
        <w:t>招标方</w:t>
      </w:r>
      <w:r>
        <w:rPr>
          <w:rFonts w:hint="eastAsia" w:asciiTheme="minorEastAsia" w:hAnsiTheme="minorEastAsia" w:eastAsiaTheme="minorEastAsia"/>
          <w:color w:val="auto"/>
          <w:sz w:val="24"/>
          <w:highlight w:val="none"/>
        </w:rPr>
        <w:t>可无条件退换</w:t>
      </w:r>
      <w:r>
        <w:rPr>
          <w:rFonts w:hint="eastAsia" w:asciiTheme="minorEastAsia" w:hAnsiTheme="minorEastAsia"/>
          <w:color w:val="auto"/>
          <w:sz w:val="24"/>
          <w:highlight w:val="none"/>
          <w:lang w:eastAsia="zh-CN"/>
        </w:rPr>
        <w:t>。</w:t>
      </w:r>
    </w:p>
    <w:p w14:paraId="529D685D">
      <w:pPr>
        <w:widowControl/>
        <w:numPr>
          <w:ilvl w:val="0"/>
          <w:numId w:val="0"/>
        </w:numPr>
        <w:shd w:val="clear" w:color="auto" w:fill="FFFFFF"/>
        <w:spacing w:line="360" w:lineRule="auto"/>
        <w:ind w:firstLine="420"/>
        <w:jc w:val="left"/>
        <w:rPr>
          <w:rFonts w:hint="default"/>
          <w:color w:val="auto"/>
          <w:highlight w:val="none"/>
          <w:lang w:val="en-US" w:eastAsia="zh-CN"/>
        </w:rPr>
      </w:pPr>
      <w:r>
        <w:rPr>
          <w:rFonts w:hint="eastAsia" w:ascii="宋体" w:hAnsi="宋体" w:eastAsia="宋体" w:cs="宋体"/>
          <w:color w:val="auto"/>
          <w:sz w:val="24"/>
          <w:szCs w:val="22"/>
          <w:highlight w:val="none"/>
          <w:lang w:val="en-US" w:eastAsia="zh-CN"/>
        </w:rPr>
        <w:t>3.</w:t>
      </w:r>
      <w:r>
        <w:rPr>
          <w:rFonts w:hint="eastAsia" w:asciiTheme="minorEastAsia" w:hAnsiTheme="minorEastAsia" w:eastAsiaTheme="minorEastAsia"/>
          <w:color w:val="auto"/>
          <w:sz w:val="24"/>
          <w:highlight w:val="none"/>
        </w:rPr>
        <w:t>药品离失效期6个月以上且包装完整的</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招标方</w:t>
      </w:r>
      <w:r>
        <w:rPr>
          <w:rFonts w:hint="eastAsia" w:asciiTheme="minorEastAsia" w:hAnsiTheme="minorEastAsia" w:eastAsiaTheme="minorEastAsia"/>
          <w:color w:val="auto"/>
          <w:sz w:val="24"/>
          <w:highlight w:val="none"/>
        </w:rPr>
        <w:t>可无条件退换。</w:t>
      </w:r>
    </w:p>
    <w:p w14:paraId="4367F882">
      <w:pPr>
        <w:widowControl/>
        <w:numPr>
          <w:ilvl w:val="0"/>
          <w:numId w:val="0"/>
        </w:numPr>
        <w:shd w:val="clear" w:color="auto" w:fill="FFFFFF"/>
        <w:autoSpaceDE/>
        <w:autoSpaceDN/>
        <w:spacing w:line="360" w:lineRule="auto"/>
        <w:ind w:left="0" w:leftChars="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（九）产品召回</w:t>
      </w:r>
    </w:p>
    <w:p w14:paraId="3F3580D1">
      <w:pPr>
        <w:widowControl/>
        <w:numPr>
          <w:ilvl w:val="0"/>
          <w:numId w:val="0"/>
        </w:numPr>
        <w:shd w:val="clear" w:color="auto" w:fill="FFFFFF"/>
        <w:spacing w:line="360" w:lineRule="auto"/>
        <w:ind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rPr>
        <w:t>若</w:t>
      </w:r>
      <w:r>
        <w:rPr>
          <w:rFonts w:hint="eastAsia" w:ascii="宋体" w:hAnsi="宋体" w:eastAsia="宋体" w:cs="宋体"/>
          <w:color w:val="auto"/>
          <w:sz w:val="24"/>
          <w:szCs w:val="22"/>
          <w:highlight w:val="none"/>
          <w:lang w:val="en-US" w:eastAsia="zh-CN"/>
        </w:rPr>
        <w:t>中标单位</w:t>
      </w:r>
      <w:r>
        <w:rPr>
          <w:rFonts w:hint="eastAsia" w:ascii="宋体" w:hAnsi="宋体" w:eastAsia="宋体" w:cs="宋体"/>
          <w:color w:val="auto"/>
          <w:sz w:val="24"/>
          <w:szCs w:val="22"/>
          <w:highlight w:val="none"/>
          <w:lang w:val="en-US"/>
        </w:rPr>
        <w:t>自行或根据国家各级药品监督管理机构要求召回产品时，应当及时通知</w:t>
      </w:r>
      <w:r>
        <w:rPr>
          <w:rFonts w:hint="eastAsia" w:ascii="宋体" w:hAnsi="宋体" w:eastAsia="宋体" w:cs="宋体"/>
          <w:color w:val="auto"/>
          <w:sz w:val="24"/>
          <w:szCs w:val="22"/>
          <w:highlight w:val="none"/>
          <w:lang w:val="en-US" w:eastAsia="zh-CN"/>
        </w:rPr>
        <w:t>我校</w:t>
      </w:r>
      <w:r>
        <w:rPr>
          <w:rFonts w:hint="eastAsia" w:ascii="宋体" w:hAnsi="宋体" w:eastAsia="宋体" w:cs="宋体"/>
          <w:color w:val="auto"/>
          <w:sz w:val="24"/>
          <w:szCs w:val="22"/>
          <w:highlight w:val="none"/>
          <w:lang w:val="en-US"/>
        </w:rPr>
        <w:t>，</w:t>
      </w:r>
      <w:r>
        <w:rPr>
          <w:rFonts w:hint="eastAsia" w:ascii="宋体" w:hAnsi="宋体" w:eastAsia="宋体" w:cs="宋体"/>
          <w:i w:val="0"/>
          <w:iCs w:val="0"/>
          <w:caps w:val="0"/>
          <w:color w:val="auto"/>
          <w:spacing w:val="0"/>
          <w:sz w:val="24"/>
          <w:szCs w:val="22"/>
          <w:highlight w:val="none"/>
          <w:shd w:val="clear"/>
        </w:rPr>
        <w:t>并提供详细的产品召回原因、范围及操作方案</w:t>
      </w:r>
      <w:r>
        <w:rPr>
          <w:rFonts w:hint="eastAsia" w:ascii="宋体" w:hAnsi="宋体" w:eastAsia="宋体" w:cs="宋体"/>
          <w:color w:val="auto"/>
          <w:sz w:val="24"/>
          <w:szCs w:val="22"/>
          <w:highlight w:val="none"/>
          <w:lang w:val="en-US"/>
        </w:rPr>
        <w:t>。</w:t>
      </w:r>
      <w:r>
        <w:rPr>
          <w:rFonts w:hint="eastAsia" w:ascii="宋体" w:hAnsi="宋体" w:eastAsia="宋体" w:cs="宋体"/>
          <w:color w:val="auto"/>
          <w:sz w:val="24"/>
          <w:szCs w:val="22"/>
          <w:highlight w:val="none"/>
          <w:lang w:val="en-US" w:eastAsia="zh-CN"/>
        </w:rPr>
        <w:t>召回的产品费用由中标单位承担，</w:t>
      </w:r>
      <w:r>
        <w:rPr>
          <w:rFonts w:hint="eastAsia" w:ascii="宋体" w:hAnsi="宋体" w:eastAsia="宋体" w:cs="宋体"/>
          <w:i w:val="0"/>
          <w:iCs w:val="0"/>
          <w:caps w:val="0"/>
          <w:color w:val="auto"/>
          <w:spacing w:val="0"/>
          <w:sz w:val="24"/>
          <w:szCs w:val="22"/>
          <w:highlight w:val="none"/>
          <w:shd w:val="clear"/>
        </w:rPr>
        <w:t>并在召回完成后全额返还至</w:t>
      </w:r>
      <w:r>
        <w:rPr>
          <w:rFonts w:hint="eastAsia" w:ascii="宋体" w:hAnsi="宋体" w:eastAsia="宋体" w:cs="宋体"/>
          <w:i w:val="0"/>
          <w:iCs w:val="0"/>
          <w:caps w:val="0"/>
          <w:color w:val="auto"/>
          <w:spacing w:val="0"/>
          <w:sz w:val="24"/>
          <w:szCs w:val="22"/>
          <w:highlight w:val="none"/>
          <w:shd w:val="clear"/>
          <w:lang w:val="en-US" w:eastAsia="zh-CN"/>
        </w:rPr>
        <w:t>我校</w:t>
      </w:r>
      <w:r>
        <w:rPr>
          <w:rFonts w:hint="eastAsia" w:ascii="宋体" w:hAnsi="宋体" w:eastAsia="宋体" w:cs="宋体"/>
          <w:i w:val="0"/>
          <w:iCs w:val="0"/>
          <w:caps w:val="0"/>
          <w:color w:val="auto"/>
          <w:spacing w:val="0"/>
          <w:sz w:val="24"/>
          <w:szCs w:val="22"/>
          <w:highlight w:val="none"/>
          <w:shd w:val="clear"/>
        </w:rPr>
        <w:t>指定账户。</w:t>
      </w:r>
    </w:p>
    <w:p w14:paraId="3E6933DF">
      <w:pPr>
        <w:widowControl/>
        <w:numPr>
          <w:ilvl w:val="-1"/>
          <w:numId w:val="0"/>
        </w:numPr>
        <w:shd w:val="clear" w:color="auto" w:fill="FFFFFF"/>
        <w:spacing w:line="360" w:lineRule="auto"/>
        <w:ind w:firstLine="240" w:firstLineChars="100"/>
        <w:jc w:val="left"/>
        <w:rPr>
          <w:rFonts w:hint="eastAsia"/>
          <w:color w:val="auto"/>
          <w:highlight w:val="none"/>
          <w:lang w:val="en-US"/>
        </w:rPr>
      </w:pPr>
      <w:r>
        <w:rPr>
          <w:rFonts w:hint="eastAsia" w:ascii="宋体" w:hAnsi="宋体" w:eastAsia="宋体" w:cs="宋体"/>
          <w:color w:val="auto"/>
          <w:sz w:val="24"/>
          <w:szCs w:val="24"/>
          <w:highlight w:val="none"/>
          <w:lang w:val="en-US" w:eastAsia="zh-CN"/>
        </w:rPr>
        <w:t>（十）违约责任</w:t>
      </w:r>
    </w:p>
    <w:p w14:paraId="1172FAD4">
      <w:pPr>
        <w:widowControl/>
        <w:numPr>
          <w:ilvl w:val="-1"/>
          <w:numId w:val="0"/>
        </w:numPr>
        <w:shd w:val="clear" w:color="auto" w:fill="FFFFFF"/>
        <w:spacing w:line="360" w:lineRule="auto"/>
        <w:ind w:firstLine="480" w:firstLineChars="200"/>
        <w:jc w:val="left"/>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中标单位出现以下情形并累积达3次及以上的，我校</w:t>
      </w:r>
      <w:r>
        <w:rPr>
          <w:rFonts w:hint="eastAsia" w:ascii="宋体" w:hAnsi="宋体" w:eastAsia="宋体" w:cs="宋体"/>
          <w:color w:val="auto"/>
          <w:sz w:val="24"/>
          <w:szCs w:val="22"/>
          <w:highlight w:val="none"/>
        </w:rPr>
        <w:t>有权将</w:t>
      </w:r>
      <w:r>
        <w:rPr>
          <w:rFonts w:hint="eastAsia" w:ascii="宋体" w:hAnsi="宋体" w:eastAsia="宋体" w:cs="宋体"/>
          <w:color w:val="auto"/>
          <w:sz w:val="24"/>
          <w:szCs w:val="22"/>
          <w:highlight w:val="none"/>
          <w:lang w:val="en-US" w:eastAsia="zh-CN"/>
        </w:rPr>
        <w:t>中标单位</w:t>
      </w:r>
      <w:r>
        <w:rPr>
          <w:rFonts w:hint="eastAsia" w:ascii="宋体" w:hAnsi="宋体" w:eastAsia="宋体" w:cs="宋体"/>
          <w:color w:val="auto"/>
          <w:sz w:val="24"/>
          <w:szCs w:val="22"/>
          <w:highlight w:val="none"/>
        </w:rPr>
        <w:t>纳入供应商黑名单</w:t>
      </w:r>
      <w:r>
        <w:rPr>
          <w:rFonts w:hint="eastAsia" w:ascii="宋体" w:hAnsi="宋体" w:eastAsia="宋体" w:cs="宋体"/>
          <w:color w:val="auto"/>
          <w:sz w:val="24"/>
          <w:szCs w:val="22"/>
          <w:highlight w:val="none"/>
          <w:lang w:eastAsia="zh-CN"/>
        </w:rPr>
        <w:t>：</w:t>
      </w:r>
    </w:p>
    <w:p w14:paraId="2880F9DC">
      <w:pPr>
        <w:widowControl/>
        <w:numPr>
          <w:ilvl w:val="0"/>
          <w:numId w:val="1"/>
        </w:numPr>
        <w:shd w:val="clear" w:color="auto" w:fill="FFFFFF"/>
        <w:spacing w:line="360" w:lineRule="auto"/>
        <w:ind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供货不及时</w:t>
      </w:r>
    </w:p>
    <w:p w14:paraId="79B3E895">
      <w:pPr>
        <w:widowControl/>
        <w:numPr>
          <w:ilvl w:val="0"/>
          <w:numId w:val="1"/>
        </w:numPr>
        <w:shd w:val="clear" w:color="auto" w:fill="FFFFFF"/>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无法提供订货药品</w:t>
      </w:r>
    </w:p>
    <w:p w14:paraId="67FBC3EA">
      <w:pPr>
        <w:widowControl/>
        <w:numPr>
          <w:ilvl w:val="0"/>
          <w:numId w:val="1"/>
        </w:numPr>
        <w:shd w:val="clear" w:color="auto" w:fill="FFFFFF"/>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拒绝退换货等违约</w:t>
      </w:r>
    </w:p>
    <w:p w14:paraId="4AB9CFAB">
      <w:pPr>
        <w:widowControl/>
        <w:numPr>
          <w:ilvl w:val="0"/>
          <w:numId w:val="1"/>
        </w:numPr>
        <w:shd w:val="clear" w:color="auto" w:fill="FFFFFF"/>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其他</w:t>
      </w:r>
      <w:r>
        <w:rPr>
          <w:rFonts w:hint="eastAsia" w:ascii="宋体" w:hAnsi="宋体" w:eastAsia="宋体" w:cs="宋体"/>
          <w:color w:val="auto"/>
          <w:sz w:val="24"/>
          <w:szCs w:val="22"/>
          <w:highlight w:val="none"/>
        </w:rPr>
        <w:t>不配合甲方合理要求的。</w:t>
      </w:r>
    </w:p>
    <w:p w14:paraId="2FA0047F">
      <w:pPr>
        <w:widowControl/>
        <w:numPr>
          <w:ilvl w:val="-1"/>
          <w:numId w:val="0"/>
        </w:numPr>
        <w:shd w:val="clear" w:color="auto" w:fill="FFFFFF"/>
        <w:spacing w:line="360" w:lineRule="auto"/>
        <w:ind w:firstLine="240" w:firstLineChars="100"/>
        <w:jc w:val="left"/>
        <w:rPr>
          <w:rFonts w:hint="eastAsia"/>
          <w:lang w:eastAsia="zh-CN"/>
        </w:rPr>
      </w:pPr>
      <w:r>
        <w:rPr>
          <w:rFonts w:hint="eastAsia" w:ascii="宋体" w:hAnsi="宋体" w:eastAsia="宋体" w:cs="宋体"/>
          <w:color w:val="auto"/>
          <w:sz w:val="24"/>
          <w:szCs w:val="22"/>
          <w:highlight w:val="none"/>
          <w:lang w:val="en-US" w:eastAsia="zh-CN"/>
        </w:rPr>
        <w:t>(十一)</w:t>
      </w:r>
      <w:r>
        <w:rPr>
          <w:rFonts w:hint="eastAsia" w:ascii="宋体" w:hAnsi="宋体" w:eastAsia="宋体" w:cs="宋体"/>
          <w:color w:val="auto"/>
          <w:sz w:val="24"/>
          <w:szCs w:val="22"/>
          <w:highlight w:val="none"/>
        </w:rPr>
        <w:t>其他要求</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本项目不得转包及分包，不接受联合体投标。</w:t>
      </w:r>
    </w:p>
    <w:p w14:paraId="3A29606C">
      <w:pPr>
        <w:spacing w:line="440" w:lineRule="exact"/>
        <w:rPr>
          <w:rFonts w:ascii="宋体" w:hAnsi="宋体"/>
          <w:b/>
          <w:color w:val="000000" w:themeColor="text1"/>
          <w:sz w:val="24"/>
          <w14:textFill>
            <w14:solidFill>
              <w14:schemeClr w14:val="tx1"/>
            </w14:solidFill>
          </w14:textFill>
        </w:rPr>
      </w:pPr>
      <w:r>
        <w:rPr>
          <w:rFonts w:hint="eastAsia" w:ascii="宋体" w:hAnsi="宋体"/>
          <w:b/>
          <w:sz w:val="24"/>
          <w:lang w:val="en-US" w:eastAsia="zh-CN"/>
        </w:rPr>
        <w:t>二</w:t>
      </w:r>
      <w:r>
        <w:rPr>
          <w:rFonts w:hint="eastAsia" w:ascii="宋体" w:hAnsi="宋体"/>
          <w:b/>
          <w:sz w:val="24"/>
        </w:rPr>
        <w:t>、</w:t>
      </w:r>
      <w:r>
        <w:rPr>
          <w:rFonts w:hint="eastAsia" w:ascii="宋体" w:hAnsi="宋体"/>
          <w:b/>
          <w:color w:val="000000" w:themeColor="text1"/>
          <w:sz w:val="24"/>
          <w14:textFill>
            <w14:solidFill>
              <w14:schemeClr w14:val="tx1"/>
            </w14:solidFill>
          </w14:textFill>
        </w:rPr>
        <w:t>货物清单及要求：</w:t>
      </w:r>
    </w:p>
    <w:p w14:paraId="40A5FA40">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1、供应商在报名后根据</w:t>
      </w:r>
      <w:r>
        <w:rPr>
          <w:rFonts w:hint="eastAsia" w:ascii="宋体" w:hAnsi="宋体"/>
          <w:color w:val="000000" w:themeColor="text1"/>
          <w:sz w:val="24"/>
          <w:highlight w:val="none"/>
          <w:lang w:eastAsia="zh-CN"/>
          <w14:textFill>
            <w14:solidFill>
              <w14:schemeClr w14:val="tx1"/>
            </w14:solidFill>
          </w14:textFill>
        </w:rPr>
        <w:t>技术参数及</w:t>
      </w:r>
      <w:r>
        <w:rPr>
          <w:rFonts w:hint="eastAsia" w:ascii="宋体" w:hAnsi="宋体"/>
          <w:color w:val="000000" w:themeColor="text1"/>
          <w:sz w:val="24"/>
          <w:highlight w:val="none"/>
          <w14:textFill>
            <w14:solidFill>
              <w14:schemeClr w14:val="tx1"/>
            </w14:solidFill>
          </w14:textFill>
        </w:rPr>
        <w:t>采购清单（见附件），认真报价。</w:t>
      </w:r>
    </w:p>
    <w:p w14:paraId="49416D63">
      <w:pPr>
        <w:spacing w:line="44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2、供应商在报价前</w:t>
      </w:r>
      <w:r>
        <w:rPr>
          <w:rFonts w:hint="eastAsia" w:ascii="宋体" w:hAnsi="宋体"/>
          <w:color w:val="000000" w:themeColor="text1"/>
          <w:sz w:val="24"/>
          <w:highlight w:val="none"/>
          <w:lang w:eastAsia="zh-CN"/>
          <w14:textFill>
            <w14:solidFill>
              <w14:schemeClr w14:val="tx1"/>
            </w14:solidFill>
          </w14:textFill>
        </w:rPr>
        <w:t>如有疑问，</w:t>
      </w:r>
      <w:r>
        <w:rPr>
          <w:rFonts w:hint="eastAsia" w:ascii="宋体" w:hAnsi="宋体"/>
          <w:color w:val="000000" w:themeColor="text1"/>
          <w:sz w:val="24"/>
          <w:highlight w:val="none"/>
          <w14:textFill>
            <w14:solidFill>
              <w14:schemeClr w14:val="tx1"/>
            </w14:solidFill>
          </w14:textFill>
        </w:rPr>
        <w:t>须与</w:t>
      </w:r>
      <w:r>
        <w:rPr>
          <w:rFonts w:hint="eastAsia" w:ascii="宋体" w:hAnsi="宋体"/>
          <w:color w:val="000000" w:themeColor="text1"/>
          <w:sz w:val="24"/>
          <w:highlight w:val="none"/>
          <w:lang w:val="en-US" w:eastAsia="zh-CN"/>
          <w14:textFill>
            <w14:solidFill>
              <w14:schemeClr w14:val="tx1"/>
            </w14:solidFill>
          </w14:textFill>
        </w:rPr>
        <w:t>学校</w:t>
      </w:r>
      <w:r>
        <w:rPr>
          <w:rFonts w:hint="eastAsia" w:ascii="宋体" w:hAnsi="宋体"/>
          <w:color w:val="000000" w:themeColor="text1"/>
          <w:sz w:val="24"/>
          <w:highlight w:val="none"/>
          <w14:textFill>
            <w14:solidFill>
              <w14:schemeClr w14:val="tx1"/>
            </w14:solidFill>
          </w14:textFill>
        </w:rPr>
        <w:t>联系人取得联系，明确货物的具体要求。</w:t>
      </w:r>
    </w:p>
    <w:p w14:paraId="5F584B2B">
      <w:pPr>
        <w:spacing w:line="440" w:lineRule="exact"/>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3、清单壹年预估量仅供参考，具体以实际发生为准。</w:t>
      </w:r>
    </w:p>
    <w:p w14:paraId="00149D80">
      <w:pPr>
        <w:spacing w:line="440" w:lineRule="exact"/>
        <w:ind w:firstLine="482" w:firstLineChars="200"/>
        <w:rPr>
          <w:rFonts w:hint="eastAsia" w:ascii="宋体" w:hAnsi="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注：1.没有要求品牌的可以自行选择品牌投标，规定品牌的商品请按照规定品牌要求选择其一报价，否则视为无效报价。</w:t>
      </w:r>
    </w:p>
    <w:p w14:paraId="755FB55E">
      <w:pPr>
        <w:pStyle w:val="5"/>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bCs/>
          <w:color w:val="FF0000"/>
          <w:sz w:val="24"/>
          <w:highlight w:val="yellow"/>
          <w:lang w:eastAsia="zh-CN" w:bidi="zh-TW"/>
        </w:rPr>
      </w:pPr>
      <w:r>
        <w:rPr>
          <w:rFonts w:hint="eastAsia" w:ascii="宋体" w:hAnsi="宋体" w:eastAsia="宋体" w:cs="宋体"/>
          <w:b/>
          <w:bCs/>
          <w:color w:val="auto"/>
          <w:sz w:val="28"/>
          <w:szCs w:val="28"/>
          <w:lang w:val="en-US" w:eastAsia="zh-CN" w:bidi="zh-TW"/>
        </w:rPr>
        <w:t>三</w:t>
      </w:r>
      <w:r>
        <w:rPr>
          <w:rFonts w:hint="eastAsia" w:ascii="宋体" w:hAnsi="宋体" w:cs="宋体"/>
          <w:b/>
          <w:bCs/>
          <w:color w:val="auto"/>
          <w:sz w:val="28"/>
          <w:szCs w:val="28"/>
          <w:lang w:bidi="zh-TW"/>
        </w:rPr>
        <w:t>、采购商务要求</w:t>
      </w:r>
    </w:p>
    <w:tbl>
      <w:tblPr>
        <w:tblStyle w:val="3"/>
        <w:tblpPr w:leftFromText="180" w:rightFromText="180" w:vertAnchor="text" w:horzAnchor="margin" w:tblpXSpec="center" w:tblpY="209"/>
        <w:tblOverlap w:val="never"/>
        <w:tblW w:w="9346"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87"/>
        <w:gridCol w:w="1020"/>
        <w:gridCol w:w="6223"/>
      </w:tblGrid>
      <w:tr w14:paraId="378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816" w:type="dxa"/>
            <w:vAlign w:val="center"/>
          </w:tcPr>
          <w:p w14:paraId="02BBC658">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287" w:type="dxa"/>
            <w:vAlign w:val="center"/>
          </w:tcPr>
          <w:p w14:paraId="73213380">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020" w:type="dxa"/>
            <w:vAlign w:val="center"/>
          </w:tcPr>
          <w:p w14:paraId="7B9BA659">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6223" w:type="dxa"/>
            <w:vAlign w:val="center"/>
          </w:tcPr>
          <w:p w14:paraId="35178317">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14:paraId="183D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6" w:type="dxa"/>
            <w:vAlign w:val="center"/>
          </w:tcPr>
          <w:p w14:paraId="5F86A244">
            <w:pPr>
              <w:autoSpaceDE w:val="0"/>
              <w:autoSpaceDN w:val="0"/>
              <w:adjustRightInd w:val="0"/>
              <w:snapToGrid w:val="0"/>
              <w:ind w:firstLine="240" w:firstLineChars="100"/>
              <w:jc w:val="both"/>
              <w:rPr>
                <w:rFonts w:ascii="Times New Roman" w:hAnsi="Times New Roman" w:cs="Times New Roman"/>
                <w:snapToGrid w:val="0"/>
                <w:color w:val="auto"/>
                <w:kern w:val="0"/>
                <w:sz w:val="24"/>
                <w:szCs w:val="24"/>
                <w:lang w:val="zh-CN"/>
              </w:rPr>
            </w:pPr>
            <w:r>
              <w:rPr>
                <w:rFonts w:hint="eastAsia" w:ascii="宋体" w:hAnsi="宋体" w:eastAsia="宋体" w:cs="宋体"/>
                <w:snapToGrid w:val="0"/>
                <w:color w:val="auto"/>
                <w:kern w:val="0"/>
                <w:sz w:val="24"/>
                <w:szCs w:val="24"/>
                <w:highlight w:val="none"/>
                <w:lang w:val="zh-CN"/>
              </w:rPr>
              <w:t>1</w:t>
            </w:r>
          </w:p>
        </w:tc>
        <w:tc>
          <w:tcPr>
            <w:tcW w:w="1287" w:type="dxa"/>
            <w:vAlign w:val="center"/>
          </w:tcPr>
          <w:p w14:paraId="0C48A621">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eastAsia="宋体" w:cs="宋体"/>
                <w:snapToGrid w:val="0"/>
                <w:color w:val="auto"/>
                <w:kern w:val="0"/>
                <w:sz w:val="24"/>
                <w:szCs w:val="24"/>
                <w:highlight w:val="none"/>
                <w:lang w:val="zh-CN"/>
              </w:rPr>
              <w:t>供货期/服务期</w:t>
            </w:r>
          </w:p>
        </w:tc>
        <w:tc>
          <w:tcPr>
            <w:tcW w:w="1020" w:type="dxa"/>
            <w:vAlign w:val="center"/>
          </w:tcPr>
          <w:p w14:paraId="2B433B2E">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eastAsia="宋体" w:cs="宋体"/>
                <w:snapToGrid w:val="0"/>
                <w:color w:val="auto"/>
                <w:kern w:val="0"/>
                <w:sz w:val="24"/>
                <w:szCs w:val="24"/>
                <w:highlight w:val="none"/>
                <w:lang w:val="zh-CN"/>
              </w:rPr>
              <w:t>★</w:t>
            </w:r>
          </w:p>
        </w:tc>
        <w:tc>
          <w:tcPr>
            <w:tcW w:w="6223" w:type="dxa"/>
            <w:vAlign w:val="center"/>
          </w:tcPr>
          <w:p w14:paraId="3A5D1C92">
            <w:pPr>
              <w:autoSpaceDE w:val="0"/>
              <w:autoSpaceDN w:val="0"/>
              <w:adjustRightInd w:val="0"/>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合同签订模式</w:t>
            </w:r>
            <w:r>
              <w:rPr>
                <w:rFonts w:hint="eastAsia" w:ascii="宋体" w:hAnsi="宋体" w:eastAsia="宋体" w:cs="宋体"/>
                <w:color w:val="auto"/>
                <w:sz w:val="24"/>
                <w:szCs w:val="24"/>
                <w:highlight w:val="none"/>
                <w:lang w:val="en-US" w:eastAsia="zh-CN"/>
              </w:rPr>
              <w:t>2年。</w:t>
            </w:r>
          </w:p>
          <w:p w14:paraId="28855F95">
            <w:pPr>
              <w:autoSpaceDE w:val="0"/>
              <w:autoSpaceDN w:val="0"/>
              <w:adjustRightInd w:val="0"/>
              <w:snapToGrid w:val="0"/>
              <w:spacing w:line="240" w:lineRule="auto"/>
              <w:jc w:val="left"/>
              <w:rPr>
                <w:rFonts w:hint="default" w:ascii="Times New Roman" w:hAnsi="Times New Roman" w:eastAsia="宋体" w:cs="Times New Roman"/>
                <w:snapToGrid w:val="0"/>
                <w:color w:val="auto"/>
                <w:kern w:val="0"/>
                <w:sz w:val="24"/>
                <w:szCs w:val="24"/>
                <w:lang w:val="en-US" w:eastAsia="zh-CN"/>
              </w:rPr>
            </w:pPr>
            <w:r>
              <w:rPr>
                <w:rFonts w:hint="eastAsia" w:ascii="宋体" w:hAnsi="宋体" w:eastAsia="宋体" w:cs="宋体"/>
                <w:b w:val="0"/>
                <w:bCs w:val="0"/>
                <w:color w:val="auto"/>
                <w:sz w:val="24"/>
                <w:szCs w:val="24"/>
                <w:highlight w:val="none"/>
                <w:lang w:val="en-US" w:eastAsia="zh-CN"/>
              </w:rPr>
              <w:t>2.招标方每月向中标单位提交药品采购计划。中标单位须在接计划7日内按要求送至指定地点，由招标方工作人员负责验收入库。特殊药品和急需药品应按要求4小时内送货。</w:t>
            </w:r>
          </w:p>
        </w:tc>
      </w:tr>
      <w:tr w14:paraId="2EF5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82B35BD">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zh-CN" w:eastAsia="zh-CN"/>
              </w:rPr>
            </w:pPr>
            <w:r>
              <w:rPr>
                <w:rFonts w:hint="eastAsia" w:ascii="宋体" w:hAnsi="宋体" w:cs="宋体"/>
                <w:snapToGrid w:val="0"/>
                <w:color w:val="auto"/>
                <w:kern w:val="0"/>
                <w:sz w:val="24"/>
                <w:szCs w:val="24"/>
                <w:highlight w:val="none"/>
                <w:lang w:val="zh-CN"/>
              </w:rPr>
              <w:t>2</w:t>
            </w:r>
          </w:p>
        </w:tc>
        <w:tc>
          <w:tcPr>
            <w:tcW w:w="1287" w:type="dxa"/>
            <w:vAlign w:val="center"/>
          </w:tcPr>
          <w:p w14:paraId="00F82CD7">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rPr>
              <w:t>质保期</w:t>
            </w:r>
          </w:p>
        </w:tc>
        <w:tc>
          <w:tcPr>
            <w:tcW w:w="1020" w:type="dxa"/>
            <w:vAlign w:val="center"/>
          </w:tcPr>
          <w:p w14:paraId="70595F9F">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rPr>
              <w:t>★</w:t>
            </w:r>
          </w:p>
        </w:tc>
        <w:tc>
          <w:tcPr>
            <w:tcW w:w="6223" w:type="dxa"/>
            <w:vAlign w:val="center"/>
          </w:tcPr>
          <w:p w14:paraId="0DB46797">
            <w:pPr>
              <w:widowControl/>
              <w:numPr>
                <w:ilvl w:val="0"/>
                <w:numId w:val="0"/>
              </w:numPr>
              <w:shd w:val="clear" w:color="auto" w:fill="FFFFFF"/>
              <w:autoSpaceDE/>
              <w:autoSpaceDN/>
              <w:adjustRightInd/>
              <w:snapToGrid/>
              <w:spacing w:line="240" w:lineRule="auto"/>
              <w:ind w:left="0" w:leftChars="0" w:firstLine="0" w:firstLineChars="0"/>
              <w:jc w:val="left"/>
              <w:rPr>
                <w:rFonts w:hint="default" w:ascii="Times New Roman" w:hAnsi="Times New Roman" w:eastAsia="宋体" w:cs="Times New Roman"/>
                <w:snapToGrid w:val="0"/>
                <w:color w:val="auto"/>
                <w:kern w:val="0"/>
                <w:sz w:val="24"/>
                <w:szCs w:val="24"/>
                <w:lang w:val="en-US" w:eastAsia="zh-CN"/>
              </w:rPr>
            </w:pPr>
            <w:r>
              <w:rPr>
                <w:rFonts w:hint="eastAsia" w:ascii="宋体" w:hAnsi="宋体" w:eastAsia="宋体" w:cs="宋体"/>
                <w:color w:val="auto"/>
                <w:sz w:val="24"/>
                <w:highlight w:val="none"/>
                <w:lang w:val="en-US" w:eastAsia="zh-CN"/>
              </w:rPr>
              <w:t>根据合同内药品采购清单，必须保证该产品剩余的有效期在十二个月以上。</w:t>
            </w:r>
          </w:p>
        </w:tc>
      </w:tr>
      <w:tr w14:paraId="5746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99FC0F2">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zh-CN" w:eastAsia="zh-CN"/>
              </w:rPr>
            </w:pPr>
            <w:r>
              <w:rPr>
                <w:rFonts w:hint="eastAsia" w:ascii="宋体" w:hAnsi="宋体" w:cs="宋体"/>
                <w:snapToGrid w:val="0"/>
                <w:color w:val="auto"/>
                <w:kern w:val="0"/>
                <w:sz w:val="24"/>
                <w:szCs w:val="24"/>
                <w:highlight w:val="none"/>
                <w:lang w:val="zh-CN"/>
              </w:rPr>
              <w:t>3</w:t>
            </w:r>
          </w:p>
        </w:tc>
        <w:tc>
          <w:tcPr>
            <w:tcW w:w="1287" w:type="dxa"/>
            <w:vAlign w:val="center"/>
          </w:tcPr>
          <w:p w14:paraId="3A9CAC7B">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rPr>
              <w:t>服务内容</w:t>
            </w:r>
          </w:p>
        </w:tc>
        <w:tc>
          <w:tcPr>
            <w:tcW w:w="1020" w:type="dxa"/>
            <w:vAlign w:val="center"/>
          </w:tcPr>
          <w:p w14:paraId="609641EC">
            <w:pPr>
              <w:autoSpaceDE w:val="0"/>
              <w:autoSpaceDN w:val="0"/>
              <w:adjustRightInd w:val="0"/>
              <w:snapToGrid w:val="0"/>
              <w:ind w:firstLine="0" w:firstLineChars="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rPr>
              <w:t>★</w:t>
            </w:r>
          </w:p>
        </w:tc>
        <w:tc>
          <w:tcPr>
            <w:tcW w:w="6223" w:type="dxa"/>
            <w:vAlign w:val="center"/>
          </w:tcPr>
          <w:p w14:paraId="79F06346">
            <w:pPr>
              <w:widowControl/>
              <w:autoSpaceDE w:val="0"/>
              <w:autoSpaceDN w:val="0"/>
              <w:adjustRightInd w:val="0"/>
              <w:snapToGrid w:val="0"/>
              <w:spacing w:line="240" w:lineRule="auto"/>
              <w:jc w:val="both"/>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eastAsia="zh-CN"/>
              </w:rPr>
              <w:t>按照</w:t>
            </w:r>
            <w:r>
              <w:rPr>
                <w:rFonts w:hint="eastAsia" w:ascii="宋体" w:hAnsi="宋体" w:cs="宋体"/>
                <w:snapToGrid w:val="0"/>
                <w:color w:val="auto"/>
                <w:kern w:val="0"/>
                <w:sz w:val="24"/>
                <w:szCs w:val="24"/>
                <w:highlight w:val="none"/>
                <w:lang w:val="en-US" w:eastAsia="zh-CN"/>
              </w:rPr>
              <w:t>药品采购</w:t>
            </w:r>
            <w:r>
              <w:rPr>
                <w:rFonts w:hint="eastAsia" w:ascii="宋体" w:hAnsi="宋体" w:cs="宋体"/>
                <w:snapToGrid w:val="0"/>
                <w:color w:val="auto"/>
                <w:kern w:val="0"/>
                <w:sz w:val="24"/>
                <w:szCs w:val="24"/>
                <w:highlight w:val="none"/>
                <w:lang w:val="zh-CN" w:eastAsia="zh-CN"/>
              </w:rPr>
              <w:t>清单提供药品供应及配送服务</w:t>
            </w:r>
          </w:p>
        </w:tc>
      </w:tr>
      <w:tr w14:paraId="7092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7C0FD9F">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zh-CN" w:eastAsia="zh-CN"/>
              </w:rPr>
            </w:pPr>
            <w:r>
              <w:rPr>
                <w:rFonts w:hint="eastAsia" w:ascii="宋体" w:hAnsi="宋体" w:cs="宋体"/>
                <w:snapToGrid w:val="0"/>
                <w:color w:val="auto"/>
                <w:kern w:val="0"/>
                <w:sz w:val="24"/>
                <w:szCs w:val="24"/>
                <w:highlight w:val="none"/>
              </w:rPr>
              <w:t>4</w:t>
            </w:r>
          </w:p>
        </w:tc>
        <w:tc>
          <w:tcPr>
            <w:tcW w:w="1287" w:type="dxa"/>
            <w:vAlign w:val="center"/>
          </w:tcPr>
          <w:p w14:paraId="1324ACC8">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rPr>
              <w:t>资质能力</w:t>
            </w:r>
            <w:r>
              <w:rPr>
                <w:rFonts w:hint="eastAsia" w:ascii="宋体" w:hAnsi="宋体" w:cs="宋体"/>
                <w:snapToGrid w:val="0"/>
                <w:color w:val="auto"/>
                <w:kern w:val="0"/>
                <w:sz w:val="24"/>
                <w:szCs w:val="24"/>
                <w:highlight w:val="none"/>
                <w:lang w:val="zh-CN"/>
              </w:rPr>
              <w:t>要求</w:t>
            </w:r>
          </w:p>
        </w:tc>
        <w:tc>
          <w:tcPr>
            <w:tcW w:w="1020" w:type="dxa"/>
            <w:vAlign w:val="center"/>
          </w:tcPr>
          <w:p w14:paraId="32E4FB9E">
            <w:pPr>
              <w:autoSpaceDE w:val="0"/>
              <w:autoSpaceDN w:val="0"/>
              <w:adjustRightInd w:val="0"/>
              <w:snapToGrid w:val="0"/>
              <w:ind w:firstLine="0" w:firstLineChars="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rPr>
              <w:t>★</w:t>
            </w:r>
          </w:p>
        </w:tc>
        <w:tc>
          <w:tcPr>
            <w:tcW w:w="6223" w:type="dxa"/>
            <w:vAlign w:val="top"/>
          </w:tcPr>
          <w:p w14:paraId="126DAAFF">
            <w:pPr>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4"/>
                <w:highlight w:val="none"/>
                <w:lang w:val="en-US" w:eastAsia="zh-CN"/>
              </w:rPr>
              <w:t>1.中标单位</w:t>
            </w:r>
            <w:r>
              <w:rPr>
                <w:rFonts w:hint="eastAsia" w:ascii="宋体" w:hAnsi="宋体" w:eastAsia="宋体" w:cs="宋体"/>
                <w:color w:val="auto"/>
                <w:sz w:val="24"/>
                <w:highlight w:val="none"/>
              </w:rPr>
              <w:t>能够独立承担民事责任能力；</w:t>
            </w:r>
          </w:p>
          <w:p w14:paraId="100BBD4C">
            <w:pPr>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1C6EFBDB">
            <w:pPr>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D9D179F">
            <w:pPr>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8F4B613">
            <w:pPr>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5.具有</w:t>
            </w:r>
            <w:r>
              <w:rPr>
                <w:rFonts w:hint="eastAsia" w:ascii="宋体" w:hAnsi="宋体" w:eastAsia="宋体" w:cs="宋体"/>
                <w:color w:val="auto"/>
                <w:sz w:val="24"/>
                <w:highlight w:val="none"/>
                <w:lang w:val="en-US" w:eastAsia="zh-CN"/>
              </w:rPr>
              <w:t>《药品经营许可证》。</w:t>
            </w:r>
          </w:p>
          <w:p w14:paraId="29092021">
            <w:pPr>
              <w:widowControl/>
              <w:shd w:val="clear"/>
              <w:spacing w:line="240" w:lineRule="auto"/>
              <w:ind w:firstLine="0" w:firstLineChars="0"/>
              <w:jc w:val="left"/>
              <w:rPr>
                <w:rFonts w:hint="default" w:ascii="Times New Roman" w:hAnsi="Times New Roman" w:cs="Times New Roman"/>
                <w:snapToGrid w:val="0"/>
                <w:color w:val="auto"/>
                <w:kern w:val="0"/>
                <w:sz w:val="24"/>
                <w:szCs w:val="24"/>
                <w:lang w:val="en-US"/>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三年内，在经营活动中没有重大违法记录</w:t>
            </w:r>
            <w:r>
              <w:rPr>
                <w:rFonts w:hint="eastAsia" w:ascii="宋体" w:hAnsi="宋体" w:eastAsia="宋体" w:cs="宋体"/>
                <w:color w:val="auto"/>
                <w:sz w:val="24"/>
                <w:szCs w:val="24"/>
                <w:highlight w:val="none"/>
              </w:rPr>
              <w:t>。</w:t>
            </w:r>
          </w:p>
        </w:tc>
      </w:tr>
      <w:tr w14:paraId="4369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23D5F2">
            <w:pPr>
              <w:autoSpaceDE w:val="0"/>
              <w:autoSpaceDN w:val="0"/>
              <w:adjustRightInd w:val="0"/>
              <w:snapToGrid w:val="0"/>
              <w:jc w:val="center"/>
              <w:rPr>
                <w:rFonts w:hint="eastAsia" w:ascii="宋体" w:hAnsi="宋体" w:cs="宋体"/>
                <w:snapToGrid w:val="0"/>
                <w:kern w:val="0"/>
                <w:sz w:val="24"/>
                <w:szCs w:val="24"/>
                <w:lang w:val="en-US" w:eastAsia="zh-CN"/>
              </w:rPr>
            </w:pPr>
            <w:r>
              <w:rPr>
                <w:rFonts w:hint="eastAsia" w:ascii="宋体" w:hAnsi="宋体" w:cs="宋体"/>
                <w:snapToGrid w:val="0"/>
                <w:color w:val="auto"/>
                <w:kern w:val="0"/>
                <w:sz w:val="24"/>
                <w:szCs w:val="24"/>
                <w:highlight w:val="none"/>
              </w:rPr>
              <w:t>5</w:t>
            </w:r>
          </w:p>
        </w:tc>
        <w:tc>
          <w:tcPr>
            <w:tcW w:w="1287" w:type="dxa"/>
            <w:vAlign w:val="center"/>
          </w:tcPr>
          <w:p w14:paraId="0ACDCC60">
            <w:pPr>
              <w:widowControl/>
              <w:autoSpaceDE w:val="0"/>
              <w:autoSpaceDN w:val="0"/>
              <w:adjustRightInd w:val="0"/>
              <w:snapToGrid w:val="0"/>
              <w:jc w:val="center"/>
              <w:rPr>
                <w:rFonts w:hint="eastAsia" w:ascii="宋体" w:hAnsi="宋体" w:cs="宋体"/>
                <w:snapToGrid w:val="0"/>
                <w:kern w:val="0"/>
                <w:sz w:val="24"/>
                <w:szCs w:val="24"/>
                <w:lang w:val="zh-CN"/>
              </w:rPr>
            </w:pPr>
            <w:r>
              <w:rPr>
                <w:rFonts w:hint="eastAsia" w:ascii="宋体" w:hAnsi="宋体" w:cs="宋体"/>
                <w:snapToGrid w:val="0"/>
                <w:color w:val="auto"/>
                <w:kern w:val="0"/>
                <w:sz w:val="24"/>
                <w:szCs w:val="24"/>
                <w:highlight w:val="none"/>
                <w:lang w:val="zh-CN"/>
              </w:rPr>
              <w:t>验收标准</w:t>
            </w:r>
          </w:p>
        </w:tc>
        <w:tc>
          <w:tcPr>
            <w:tcW w:w="1020" w:type="dxa"/>
            <w:vAlign w:val="center"/>
          </w:tcPr>
          <w:p w14:paraId="1CEBE39E">
            <w:pPr>
              <w:autoSpaceDE w:val="0"/>
              <w:autoSpaceDN w:val="0"/>
              <w:adjustRightInd w:val="0"/>
              <w:snapToGrid w:val="0"/>
              <w:ind w:firstLine="0" w:firstLineChars="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rPr>
              <w:t>★</w:t>
            </w:r>
          </w:p>
        </w:tc>
        <w:tc>
          <w:tcPr>
            <w:tcW w:w="6223" w:type="dxa"/>
            <w:vAlign w:val="center"/>
          </w:tcPr>
          <w:p w14:paraId="399C34C3">
            <w:pPr>
              <w:widowControl/>
              <w:autoSpaceDE w:val="0"/>
              <w:autoSpaceDN w:val="0"/>
              <w:adjustRightInd w:val="0"/>
              <w:snapToGrid w:val="0"/>
              <w:spacing w:line="240" w:lineRule="auto"/>
              <w:jc w:val="both"/>
              <w:rPr>
                <w:rFonts w:hint="eastAsia" w:ascii="宋体" w:hAnsi="宋体" w:cs="宋体"/>
                <w:color w:val="auto"/>
                <w:sz w:val="24"/>
                <w:szCs w:val="24"/>
                <w:lang w:val="en-US" w:eastAsia="zh-CN"/>
              </w:rPr>
            </w:pPr>
            <w:r>
              <w:rPr>
                <w:rFonts w:hint="eastAsia" w:ascii="宋体" w:hAnsi="宋体" w:cs="宋体"/>
                <w:snapToGrid w:val="0"/>
                <w:color w:val="auto"/>
                <w:kern w:val="0"/>
                <w:sz w:val="24"/>
                <w:szCs w:val="24"/>
                <w:highlight w:val="none"/>
                <w:lang w:val="zh-CN" w:eastAsia="zh-CN"/>
              </w:rPr>
              <w:t>按照技术要求中的药品验收标准执行</w:t>
            </w:r>
          </w:p>
        </w:tc>
      </w:tr>
      <w:tr w14:paraId="0358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A5D2FC9">
            <w:pPr>
              <w:autoSpaceDE w:val="0"/>
              <w:autoSpaceDN w:val="0"/>
              <w:adjustRightInd w:val="0"/>
              <w:snapToGrid w:val="0"/>
              <w:jc w:val="center"/>
              <w:rPr>
                <w:rFonts w:hint="eastAsia" w:ascii="宋体" w:hAnsi="宋体" w:cs="宋体"/>
                <w:snapToGrid w:val="0"/>
                <w:kern w:val="0"/>
                <w:sz w:val="24"/>
                <w:szCs w:val="24"/>
                <w:lang w:val="en-US" w:eastAsia="zh-CN"/>
              </w:rPr>
            </w:pPr>
            <w:r>
              <w:rPr>
                <w:rFonts w:hint="eastAsia" w:ascii="宋体" w:hAnsi="宋体" w:cs="宋体"/>
                <w:snapToGrid w:val="0"/>
                <w:color w:val="auto"/>
                <w:kern w:val="0"/>
                <w:sz w:val="24"/>
                <w:szCs w:val="24"/>
                <w:highlight w:val="none"/>
              </w:rPr>
              <w:t>6</w:t>
            </w:r>
          </w:p>
        </w:tc>
        <w:tc>
          <w:tcPr>
            <w:tcW w:w="1287" w:type="dxa"/>
            <w:vAlign w:val="center"/>
          </w:tcPr>
          <w:p w14:paraId="53AB57EB">
            <w:pPr>
              <w:widowControl/>
              <w:autoSpaceDE w:val="0"/>
              <w:autoSpaceDN w:val="0"/>
              <w:adjustRightInd w:val="0"/>
              <w:snapToGrid w:val="0"/>
              <w:jc w:val="center"/>
              <w:rPr>
                <w:rFonts w:hint="eastAsia" w:ascii="宋体" w:hAnsi="宋体" w:cs="宋体"/>
                <w:snapToGrid w:val="0"/>
                <w:kern w:val="0"/>
                <w:sz w:val="24"/>
                <w:szCs w:val="24"/>
                <w:lang w:val="zh-CN"/>
              </w:rPr>
            </w:pPr>
            <w:r>
              <w:rPr>
                <w:rFonts w:hint="eastAsia" w:ascii="宋体" w:hAnsi="宋体" w:cs="宋体"/>
                <w:snapToGrid w:val="0"/>
                <w:color w:val="auto"/>
                <w:kern w:val="0"/>
                <w:sz w:val="24"/>
                <w:szCs w:val="24"/>
                <w:highlight w:val="none"/>
                <w:lang w:val="zh-CN"/>
              </w:rPr>
              <w:t>服务地点</w:t>
            </w:r>
          </w:p>
        </w:tc>
        <w:tc>
          <w:tcPr>
            <w:tcW w:w="1020" w:type="dxa"/>
            <w:vAlign w:val="center"/>
          </w:tcPr>
          <w:p w14:paraId="544488EA">
            <w:pPr>
              <w:autoSpaceDE w:val="0"/>
              <w:autoSpaceDN w:val="0"/>
              <w:adjustRightInd w:val="0"/>
              <w:snapToGrid w:val="0"/>
              <w:ind w:firstLine="0" w:firstLineChars="0"/>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highlight w:val="none"/>
                <w:lang w:val="zh-CN"/>
              </w:rPr>
              <w:t>#</w:t>
            </w:r>
          </w:p>
        </w:tc>
        <w:tc>
          <w:tcPr>
            <w:tcW w:w="6223" w:type="dxa"/>
            <w:vAlign w:val="center"/>
          </w:tcPr>
          <w:p w14:paraId="33559632">
            <w:pPr>
              <w:widowControl/>
              <w:autoSpaceDE w:val="0"/>
              <w:autoSpaceDN w:val="0"/>
              <w:adjustRightInd w:val="0"/>
              <w:snapToGrid w:val="0"/>
              <w:spacing w:line="240" w:lineRule="auto"/>
              <w:ind w:firstLine="0" w:firstLineChars="0"/>
              <w:jc w:val="both"/>
              <w:rPr>
                <w:rFonts w:hint="eastAsia" w:ascii="宋体" w:hAnsi="宋体" w:cs="宋体"/>
                <w:color w:val="auto"/>
                <w:sz w:val="24"/>
                <w:szCs w:val="24"/>
                <w:lang w:val="en-US" w:eastAsia="zh-CN"/>
              </w:rPr>
            </w:pPr>
            <w:r>
              <w:rPr>
                <w:rFonts w:hint="eastAsia" w:ascii="宋体" w:hAnsi="宋体" w:cs="宋体"/>
                <w:snapToGrid w:val="0"/>
                <w:color w:val="auto"/>
                <w:kern w:val="0"/>
                <w:sz w:val="24"/>
                <w:szCs w:val="24"/>
                <w:highlight w:val="none"/>
                <w:lang w:val="zh-CN"/>
              </w:rPr>
              <w:t>安徽信息工程学院</w:t>
            </w:r>
            <w:r>
              <w:rPr>
                <w:rFonts w:hint="eastAsia" w:ascii="宋体" w:hAnsi="宋体" w:cs="宋体"/>
                <w:snapToGrid w:val="0"/>
                <w:color w:val="auto"/>
                <w:kern w:val="0"/>
                <w:sz w:val="24"/>
                <w:szCs w:val="24"/>
                <w:highlight w:val="none"/>
                <w:lang w:val="zh-CN" w:eastAsia="zh-CN"/>
              </w:rPr>
              <w:t>医务室</w:t>
            </w:r>
          </w:p>
        </w:tc>
      </w:tr>
    </w:tbl>
    <w:p w14:paraId="0B6548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AF968"/>
    <w:multiLevelType w:val="singleLevel"/>
    <w:tmpl w:val="975AF9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75AD4"/>
    <w:rsid w:val="7327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文本1"/>
    <w:basedOn w:val="1"/>
    <w:qFormat/>
    <w:uiPriority w:val="0"/>
    <w:pPr>
      <w:shd w:val="clear" w:color="auto" w:fill="FFFFFF"/>
      <w:spacing w:line="283" w:lineRule="auto"/>
      <w:ind w:firstLine="400"/>
      <w:jc w:val="left"/>
    </w:pPr>
    <w:rPr>
      <w:rFonts w:ascii="MingLiU" w:hAnsi="MingLiU" w:eastAsia="MingLiU" w:cs="MingLiU"/>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2025-06-26T01:26:00Z</dcterms:created>
  <dc:creator>神光毓逍遥</dc:creator>
  <cp:lastModifiedBy>神光毓逍遥</cp:lastModifiedBy>
  <dcterms:modified xsi:type="dcterms:W3CDTF">2025-06-26T01:29:15Z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42256D9B763B4A0FB03C1468AC78D5DE_11</vt:lpwstr>
  </property>
  <property fmtid="{D5CDD505-2E9C-101B-9397-08002B2CF9AE}" pid="4" name="KSOTemplateDocerSaveRecord">
    <vt:lpwstr>eyJoZGlkIjoiYTQwMGUzY2RmNDBkMTgzMzJjMGRiZjYzODgwZDhlNDAiLCJ1c2VySWQiOiI1OTgzMzg3MTMifQ==</vt:lpwstr>
  </property>
</Properties>
</file>