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D539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lang w:val="en-US" w:eastAsia="zh-CN" w:bidi="zh-TW"/>
        </w:rPr>
      </w:pPr>
      <w:r>
        <w:rPr>
          <w:rFonts w:hint="eastAsia" w:ascii="宋体" w:hAnsi="宋体" w:cs="宋体"/>
          <w:b/>
          <w:bCs/>
          <w:sz w:val="24"/>
          <w:lang w:val="en-US" w:eastAsia="zh-CN" w:bidi="zh-TW"/>
        </w:rPr>
        <w:t>附件：专业考察和采风实践服务要求</w:t>
      </w:r>
    </w:p>
    <w:p w14:paraId="5516F0F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bCs/>
          <w:sz w:val="24"/>
          <w:lang w:bidi="zh-TW"/>
        </w:rPr>
        <w:t>一、采购技术要求</w:t>
      </w:r>
    </w:p>
    <w:p w14:paraId="5F04EBA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val="en-US" w:eastAsia="zh-CN"/>
        </w:rPr>
        <w:t>采风</w:t>
      </w:r>
      <w:r>
        <w:rPr>
          <w:rFonts w:hint="eastAsia" w:ascii="宋体" w:hAnsi="宋体"/>
          <w:sz w:val="24"/>
        </w:rPr>
        <w:t>实践</w:t>
      </w:r>
      <w:r>
        <w:rPr>
          <w:rFonts w:hint="eastAsia" w:ascii="宋体" w:hAnsi="宋体"/>
          <w:sz w:val="24"/>
          <w:lang w:val="en-US" w:eastAsia="zh-CN"/>
        </w:rPr>
        <w:t>行程安排</w:t>
      </w:r>
      <w:r>
        <w:rPr>
          <w:rFonts w:hint="eastAsia" w:ascii="宋体" w:hAnsi="宋体"/>
          <w:sz w:val="24"/>
        </w:rPr>
        <w:t>:</w:t>
      </w:r>
    </w:p>
    <w:tbl>
      <w:tblPr>
        <w:tblStyle w:val="7"/>
        <w:tblW w:w="937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973"/>
        <w:gridCol w:w="14"/>
        <w:gridCol w:w="2960"/>
        <w:gridCol w:w="1520"/>
      </w:tblGrid>
      <w:tr w14:paraId="1EAA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07" w:type="dxa"/>
          </w:tcPr>
          <w:p w14:paraId="0F053B0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2987" w:type="dxa"/>
            <w:gridSpan w:val="2"/>
          </w:tcPr>
          <w:p w14:paraId="45765B5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行程安排（上午）</w:t>
            </w:r>
          </w:p>
        </w:tc>
        <w:tc>
          <w:tcPr>
            <w:tcW w:w="2960" w:type="dxa"/>
          </w:tcPr>
          <w:p w14:paraId="0265AB9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行程安排（下午）</w:t>
            </w:r>
          </w:p>
        </w:tc>
        <w:tc>
          <w:tcPr>
            <w:tcW w:w="1520" w:type="dxa"/>
          </w:tcPr>
          <w:p w14:paraId="1FC7AD8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</w:tr>
      <w:tr w14:paraId="3C7F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7" w:type="dxa"/>
          </w:tcPr>
          <w:p w14:paraId="61E4E945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D1：芜湖→安庆</w:t>
            </w:r>
          </w:p>
        </w:tc>
        <w:tc>
          <w:tcPr>
            <w:tcW w:w="2987" w:type="dxa"/>
            <w:gridSpan w:val="2"/>
          </w:tcPr>
          <w:p w14:paraId="211C56A1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中国黄梅戏博物馆</w:t>
            </w:r>
          </w:p>
        </w:tc>
        <w:tc>
          <w:tcPr>
            <w:tcW w:w="2960" w:type="dxa"/>
          </w:tcPr>
          <w:p w14:paraId="2E6B7CBD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倒扒狮、迎江寺、振风塔</w:t>
            </w:r>
          </w:p>
        </w:tc>
        <w:tc>
          <w:tcPr>
            <w:tcW w:w="1520" w:type="dxa"/>
            <w:vMerge w:val="restart"/>
          </w:tcPr>
          <w:p w14:paraId="43CCF890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早：7：30</w:t>
            </w:r>
          </w:p>
          <w:p w14:paraId="6DC13C26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中：11：30</w:t>
            </w:r>
          </w:p>
          <w:p w14:paraId="009FB5E9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晚：17：30</w:t>
            </w:r>
          </w:p>
          <w:p w14:paraId="45905B53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查寝：22：00</w:t>
            </w:r>
          </w:p>
        </w:tc>
      </w:tr>
      <w:tr w14:paraId="47FC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7" w:type="dxa"/>
          </w:tcPr>
          <w:p w14:paraId="545D2DC4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D2：安庆</w:t>
            </w:r>
          </w:p>
        </w:tc>
        <w:tc>
          <w:tcPr>
            <w:tcW w:w="2973" w:type="dxa"/>
          </w:tcPr>
          <w:p w14:paraId="7EB7936E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天柱山风景区</w:t>
            </w:r>
          </w:p>
        </w:tc>
        <w:tc>
          <w:tcPr>
            <w:tcW w:w="2974" w:type="dxa"/>
            <w:gridSpan w:val="2"/>
          </w:tcPr>
          <w:p w14:paraId="4ABABE47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天柱山风景区</w:t>
            </w:r>
          </w:p>
        </w:tc>
        <w:tc>
          <w:tcPr>
            <w:tcW w:w="1520" w:type="dxa"/>
            <w:vMerge w:val="continue"/>
          </w:tcPr>
          <w:p w14:paraId="5E438343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72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907" w:type="dxa"/>
          </w:tcPr>
          <w:p w14:paraId="43A12C87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D3：泾县</w:t>
            </w:r>
          </w:p>
        </w:tc>
        <w:tc>
          <w:tcPr>
            <w:tcW w:w="2987" w:type="dxa"/>
            <w:gridSpan w:val="2"/>
          </w:tcPr>
          <w:p w14:paraId="274FDC9A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宣纸文化园</w:t>
            </w:r>
          </w:p>
        </w:tc>
        <w:tc>
          <w:tcPr>
            <w:tcW w:w="2960" w:type="dxa"/>
          </w:tcPr>
          <w:p w14:paraId="75C6AD54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查济古村</w:t>
            </w:r>
          </w:p>
        </w:tc>
        <w:tc>
          <w:tcPr>
            <w:tcW w:w="1520" w:type="dxa"/>
            <w:vMerge w:val="continue"/>
          </w:tcPr>
          <w:p w14:paraId="1D1AE3DE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2C0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7" w:type="dxa"/>
          </w:tcPr>
          <w:p w14:paraId="032B1750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D4：池州</w:t>
            </w:r>
          </w:p>
        </w:tc>
        <w:tc>
          <w:tcPr>
            <w:tcW w:w="2987" w:type="dxa"/>
            <w:gridSpan w:val="2"/>
            <w:shd w:val="clear" w:color="auto" w:fill="auto"/>
            <w:vAlign w:val="top"/>
          </w:tcPr>
          <w:p w14:paraId="07C78BF8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池州市青阳腔博物馆 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00B3F4EE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杏花村傩戏傩舞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37CD7C1A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047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07" w:type="dxa"/>
          </w:tcPr>
          <w:p w14:paraId="43AFF5BB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D5：宁国</w:t>
            </w:r>
          </w:p>
        </w:tc>
        <w:tc>
          <w:tcPr>
            <w:tcW w:w="2987" w:type="dxa"/>
            <w:gridSpan w:val="2"/>
            <w:shd w:val="clear" w:color="auto" w:fill="auto"/>
            <w:vAlign w:val="top"/>
          </w:tcPr>
          <w:p w14:paraId="574CE8F0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港金牛山陶业、西村景区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346220A4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云梯畲族乡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0C9AEC1F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978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907" w:type="dxa"/>
          </w:tcPr>
          <w:p w14:paraId="52E3287E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D6：绩溪→芜湖</w:t>
            </w:r>
          </w:p>
        </w:tc>
        <w:tc>
          <w:tcPr>
            <w:tcW w:w="2987" w:type="dxa"/>
            <w:gridSpan w:val="2"/>
            <w:shd w:val="clear" w:color="auto" w:fill="auto"/>
            <w:vAlign w:val="top"/>
          </w:tcPr>
          <w:p w14:paraId="161FB270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绩溪国墨制作体验</w:t>
            </w:r>
          </w:p>
        </w:tc>
        <w:tc>
          <w:tcPr>
            <w:tcW w:w="2960" w:type="dxa"/>
            <w:shd w:val="clear" w:color="auto" w:fill="auto"/>
            <w:vAlign w:val="top"/>
          </w:tcPr>
          <w:p w14:paraId="5067B7B3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返程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1E685454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7E2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供应商提供的服务：保险、芜湖--安庆—泾县—池州—宁国—绩溪（大巴）、住宿、餐饮（自理）；</w:t>
      </w:r>
    </w:p>
    <w:p w14:paraId="1F06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门票：倒扒狮、迎江寺、振风塔（门票）、天柱山风景区（门票、景区交通）、宣纸文化园(门票、体验费）、查济古村（门票）、港金牛山陶业（体验费）、云梯畲族乡（体验费）、绩溪国墨(制作体验费）。</w:t>
      </w:r>
    </w:p>
    <w:p w14:paraId="7F1384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备注：1.了解吃饭时间以及作息时间安排。2.根据实际情况，行程可稍作调整。</w:t>
      </w:r>
    </w:p>
    <w:p w14:paraId="19D7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vanish/>
        </w:rPr>
      </w:pPr>
    </w:p>
    <w:p w14:paraId="5BF90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人</w:t>
      </w:r>
      <w:r>
        <w:rPr>
          <w:rFonts w:hint="eastAsia" w:ascii="宋体" w:hAnsi="宋体"/>
          <w:sz w:val="24"/>
          <w:lang w:val="en-US" w:eastAsia="zh-CN"/>
        </w:rPr>
        <w:t>数</w:t>
      </w:r>
      <w:r>
        <w:rPr>
          <w:rFonts w:hint="eastAsia" w:ascii="宋体" w:hAnsi="宋体"/>
          <w:sz w:val="24"/>
        </w:rPr>
        <w:t>（预估量）：</w:t>
      </w:r>
    </w:p>
    <w:tbl>
      <w:tblPr>
        <w:tblStyle w:val="6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41"/>
        <w:gridCol w:w="1564"/>
        <w:gridCol w:w="1196"/>
        <w:gridCol w:w="1810"/>
      </w:tblGrid>
      <w:tr w14:paraId="570E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shd w:val="clear" w:color="auto" w:fill="auto"/>
            <w:noWrap w:val="0"/>
            <w:vAlign w:val="top"/>
          </w:tcPr>
          <w:p w14:paraId="30B2243A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069" w:type="dxa"/>
            <w:shd w:val="clear" w:color="auto" w:fill="auto"/>
            <w:noWrap w:val="0"/>
            <w:vAlign w:val="top"/>
          </w:tcPr>
          <w:p w14:paraId="2B52B805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224872E4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带班教师人数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124266A2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942" w:type="dxa"/>
            <w:shd w:val="clear" w:color="auto" w:fill="auto"/>
            <w:noWrap w:val="0"/>
            <w:vAlign w:val="top"/>
          </w:tcPr>
          <w:p w14:paraId="7EA0327E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班级学生人数</w:t>
            </w:r>
          </w:p>
        </w:tc>
      </w:tr>
      <w:tr w14:paraId="0EE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2DDC604A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37CD9E61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动画</w:t>
            </w:r>
            <w:r>
              <w:rPr>
                <w:rFonts w:hint="eastAsia"/>
              </w:rPr>
              <w:t>2401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35009E3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A75130F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CCB91C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 w14:paraId="7375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462CF2AB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591A722D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动画</w:t>
            </w:r>
            <w:r>
              <w:rPr>
                <w:rFonts w:hint="eastAsia"/>
              </w:rPr>
              <w:t>2402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1A0E983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006E85C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4AEC3CC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 w14:paraId="25E5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1BBE49C3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0654866A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数媒</w:t>
            </w:r>
            <w:r>
              <w:rPr>
                <w:rFonts w:hint="eastAsia"/>
              </w:rPr>
              <w:t>2401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7735EEFE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3E3216F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BEB6EB4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42E7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16A5BBDD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5ADC1B71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数媒</w:t>
            </w:r>
            <w:r>
              <w:rPr>
                <w:rFonts w:hint="eastAsia"/>
              </w:rPr>
              <w:t>2402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7DEF8414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9C69913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D6ECFD0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5D2E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015923EB">
            <w:pPr>
              <w:pStyle w:val="5"/>
              <w:ind w:left="0" w:leftChars="0"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5122B50B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2F5593E7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AF83312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F852D00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BAB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11" w:type="dxa"/>
            <w:gridSpan w:val="2"/>
            <w:shd w:val="clear" w:color="auto" w:fill="auto"/>
            <w:noWrap w:val="0"/>
            <w:vAlign w:val="center"/>
          </w:tcPr>
          <w:p w14:paraId="3110811B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78C671AD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04D3F92">
            <w:pPr>
              <w:pStyle w:val="5"/>
              <w:ind w:left="0" w:leftChars="0" w:firstLine="0" w:firstLineChars="0"/>
              <w:jc w:val="center"/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2FBF6B9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</w:tr>
    </w:tbl>
    <w:p w14:paraId="1A9A4049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sz w:val="24"/>
          <w:lang w:val="en-US" w:eastAsia="zh-CN"/>
        </w:rPr>
      </w:pPr>
    </w:p>
    <w:p w14:paraId="12C6882D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2、专业考察行程安排</w:t>
      </w:r>
      <w:r>
        <w:rPr>
          <w:rFonts w:hint="eastAsia" w:ascii="宋体" w:hAnsi="宋体"/>
          <w:sz w:val="24"/>
        </w:rPr>
        <w:t>:</w:t>
      </w:r>
    </w:p>
    <w:tbl>
      <w:tblPr>
        <w:tblStyle w:val="7"/>
        <w:tblW w:w="9209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382"/>
        <w:gridCol w:w="2427"/>
        <w:gridCol w:w="1520"/>
      </w:tblGrid>
      <w:tr w14:paraId="0EF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880" w:type="dxa"/>
          </w:tcPr>
          <w:p w14:paraId="1F8F07A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3382" w:type="dxa"/>
          </w:tcPr>
          <w:p w14:paraId="239556A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行程安排（上午）</w:t>
            </w:r>
          </w:p>
        </w:tc>
        <w:tc>
          <w:tcPr>
            <w:tcW w:w="2427" w:type="dxa"/>
          </w:tcPr>
          <w:p w14:paraId="2A6EDDB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行程安排（下午）</w:t>
            </w:r>
          </w:p>
        </w:tc>
        <w:tc>
          <w:tcPr>
            <w:tcW w:w="1520" w:type="dxa"/>
          </w:tcPr>
          <w:p w14:paraId="7BCB97D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</w:tr>
      <w:tr w14:paraId="480F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0" w:type="dxa"/>
          </w:tcPr>
          <w:p w14:paraId="339D5843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D1（芜湖→六安）</w:t>
            </w:r>
          </w:p>
        </w:tc>
        <w:tc>
          <w:tcPr>
            <w:tcW w:w="3382" w:type="dxa"/>
          </w:tcPr>
          <w:p w14:paraId="2FD16E7B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芜湖出发</w:t>
            </w:r>
          </w:p>
        </w:tc>
        <w:tc>
          <w:tcPr>
            <w:tcW w:w="2427" w:type="dxa"/>
          </w:tcPr>
          <w:p w14:paraId="469A5AB4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大别山石窟景区</w:t>
            </w:r>
          </w:p>
        </w:tc>
        <w:tc>
          <w:tcPr>
            <w:tcW w:w="1520" w:type="dxa"/>
            <w:vMerge w:val="restart"/>
          </w:tcPr>
          <w:p w14:paraId="1AC13E7D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早：7：30</w:t>
            </w:r>
          </w:p>
          <w:p w14:paraId="5ACE9227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中：11：30</w:t>
            </w:r>
          </w:p>
          <w:p w14:paraId="0745CB92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晚：17：30</w:t>
            </w:r>
          </w:p>
          <w:p w14:paraId="2C3044C1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  <w:t>查寝：22：00</w:t>
            </w:r>
          </w:p>
        </w:tc>
      </w:tr>
      <w:tr w14:paraId="55AB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80" w:type="dxa"/>
          </w:tcPr>
          <w:p w14:paraId="6BD09764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D2（六安→合肥）</w:t>
            </w:r>
          </w:p>
        </w:tc>
        <w:tc>
          <w:tcPr>
            <w:tcW w:w="3382" w:type="dxa"/>
          </w:tcPr>
          <w:p w14:paraId="052F27A8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万佛湖景区、周瑜岛、龙河口</w:t>
            </w:r>
          </w:p>
        </w:tc>
        <w:tc>
          <w:tcPr>
            <w:tcW w:w="2427" w:type="dxa"/>
          </w:tcPr>
          <w:p w14:paraId="1A0478AB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三河古镇非遗双工作坊</w:t>
            </w:r>
          </w:p>
        </w:tc>
        <w:tc>
          <w:tcPr>
            <w:tcW w:w="1520" w:type="dxa"/>
            <w:vMerge w:val="continue"/>
          </w:tcPr>
          <w:p w14:paraId="75595192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A66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880" w:type="dxa"/>
          </w:tcPr>
          <w:p w14:paraId="66818B4B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D3（合肥）</w:t>
            </w:r>
          </w:p>
        </w:tc>
        <w:tc>
          <w:tcPr>
            <w:tcW w:w="3382" w:type="dxa"/>
          </w:tcPr>
          <w:p w14:paraId="4741741D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蔚来汽车生产线参观+互动问答</w:t>
            </w:r>
          </w:p>
        </w:tc>
        <w:tc>
          <w:tcPr>
            <w:tcW w:w="2427" w:type="dxa"/>
          </w:tcPr>
          <w:p w14:paraId="552B5D25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安徽省美术馆</w:t>
            </w:r>
          </w:p>
        </w:tc>
        <w:tc>
          <w:tcPr>
            <w:tcW w:w="1520" w:type="dxa"/>
            <w:vMerge w:val="continue"/>
          </w:tcPr>
          <w:p w14:paraId="1DA53C18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532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80" w:type="dxa"/>
          </w:tcPr>
          <w:p w14:paraId="714876A2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D4（合肥）</w:t>
            </w:r>
          </w:p>
        </w:tc>
        <w:tc>
          <w:tcPr>
            <w:tcW w:w="3382" w:type="dxa"/>
            <w:shd w:val="clear" w:color="auto" w:fill="auto"/>
            <w:vAlign w:val="top"/>
          </w:tcPr>
          <w:p w14:paraId="2FFBD8C3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滨湖国际会展中心（备选园博园）</w:t>
            </w:r>
          </w:p>
        </w:tc>
        <w:tc>
          <w:tcPr>
            <w:tcW w:w="2427" w:type="dxa"/>
            <w:shd w:val="clear" w:color="auto" w:fill="auto"/>
            <w:vAlign w:val="top"/>
          </w:tcPr>
          <w:p w14:paraId="1358FA3D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合肥园博园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1C7F9E38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3F5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0" w:type="dxa"/>
          </w:tcPr>
          <w:p w14:paraId="14F07AF1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D5（合肥）</w:t>
            </w:r>
          </w:p>
        </w:tc>
        <w:tc>
          <w:tcPr>
            <w:tcW w:w="3382" w:type="dxa"/>
            <w:shd w:val="clear" w:color="auto" w:fill="auto"/>
            <w:vAlign w:val="top"/>
          </w:tcPr>
          <w:p w14:paraId="0A70F108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科大讯飞“AI+设计”工作坊</w:t>
            </w:r>
          </w:p>
        </w:tc>
        <w:tc>
          <w:tcPr>
            <w:tcW w:w="2427" w:type="dxa"/>
            <w:shd w:val="clear" w:color="auto" w:fill="auto"/>
            <w:vAlign w:val="top"/>
          </w:tcPr>
          <w:p w14:paraId="2E5B03B1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安徽省科技馆新馆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3FB4FA32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D1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80" w:type="dxa"/>
          </w:tcPr>
          <w:p w14:paraId="72BE5F66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D6（合肥→芜湖）</w:t>
            </w:r>
          </w:p>
        </w:tc>
        <w:tc>
          <w:tcPr>
            <w:tcW w:w="3382" w:type="dxa"/>
            <w:shd w:val="clear" w:color="auto" w:fill="auto"/>
            <w:vAlign w:val="top"/>
          </w:tcPr>
          <w:p w14:paraId="492237AC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巢湖湖滨国家湿地公园＋岸上草原</w:t>
            </w:r>
          </w:p>
        </w:tc>
        <w:tc>
          <w:tcPr>
            <w:tcW w:w="2427" w:type="dxa"/>
            <w:shd w:val="clear" w:color="auto" w:fill="auto"/>
            <w:vAlign w:val="top"/>
          </w:tcPr>
          <w:p w14:paraId="3CF25A75"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返程</w:t>
            </w:r>
          </w:p>
        </w:tc>
        <w:tc>
          <w:tcPr>
            <w:tcW w:w="1520" w:type="dxa"/>
            <w:vMerge w:val="continue"/>
            <w:shd w:val="clear" w:color="auto" w:fill="auto"/>
            <w:vAlign w:val="top"/>
          </w:tcPr>
          <w:p w14:paraId="1DCC1A97"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76AB2BC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供应商提供的服务：保险、芜湖--六安--合肥（大巴）、住宿、餐饮（自理）；</w:t>
      </w:r>
    </w:p>
    <w:p w14:paraId="1FBC802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门票：大别山石窟景区（门票）万佛湖景区（含门票 + 船票，含登周瑜岛等岛屿）蔚来汽车合肥工厂生产线（参观+体验）、三河古镇非遗工作坊（门票、课程讲解费、实践活动费），住宿。</w:t>
      </w:r>
    </w:p>
    <w:p w14:paraId="55BD0947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备注：1.了解吃饭时间以及作息时间安排。2.根据实际情况，提前确认10月份滨湖国际会展中心是否有相关设计展览，若无则替换合肥园博园.3.具体路线和安排可根据实际情况稍作调整。</w:t>
      </w:r>
    </w:p>
    <w:p w14:paraId="082E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人</w:t>
      </w:r>
      <w:r>
        <w:rPr>
          <w:rFonts w:hint="eastAsia" w:ascii="宋体" w:hAnsi="宋体"/>
          <w:sz w:val="24"/>
          <w:lang w:val="en-US" w:eastAsia="zh-CN"/>
        </w:rPr>
        <w:t>数</w:t>
      </w:r>
      <w:r>
        <w:rPr>
          <w:rFonts w:hint="eastAsia" w:ascii="宋体" w:hAnsi="宋体"/>
          <w:sz w:val="24"/>
        </w:rPr>
        <w:t>（预估量）：</w:t>
      </w:r>
    </w:p>
    <w:tbl>
      <w:tblPr>
        <w:tblStyle w:val="6"/>
        <w:tblW w:w="0" w:type="auto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41"/>
        <w:gridCol w:w="1564"/>
        <w:gridCol w:w="1196"/>
        <w:gridCol w:w="1810"/>
      </w:tblGrid>
      <w:tr w14:paraId="5C90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shd w:val="clear" w:color="auto" w:fill="auto"/>
            <w:noWrap w:val="0"/>
            <w:vAlign w:val="top"/>
          </w:tcPr>
          <w:p w14:paraId="35DCD0F3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069" w:type="dxa"/>
            <w:shd w:val="clear" w:color="auto" w:fill="auto"/>
            <w:noWrap w:val="0"/>
            <w:vAlign w:val="top"/>
          </w:tcPr>
          <w:p w14:paraId="3D34DBC1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75C20420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带班教师人数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3A4D86D8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942" w:type="dxa"/>
            <w:shd w:val="clear" w:color="auto" w:fill="auto"/>
            <w:noWrap w:val="0"/>
            <w:vAlign w:val="top"/>
          </w:tcPr>
          <w:p w14:paraId="3C0C2919">
            <w:pPr>
              <w:pStyle w:val="5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班级学生人数</w:t>
            </w:r>
          </w:p>
        </w:tc>
      </w:tr>
      <w:tr w14:paraId="6CC3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5E4B3E1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66A06424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4776A35E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C5AB3C2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E0684AB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0A61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1ECE2232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05B91B10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产品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1CCDAE88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DE21ADF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871280B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 w14:paraId="1C6F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13E1023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4B65A67D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动画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183E72E4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7E35739F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A4D279B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5F43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56DC2BA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2AEA41CE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动画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7D177697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9CCF1F0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1E7B138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0850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74E14D41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28E869A6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5BF15902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E406AB9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9315641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</w:tr>
      <w:tr w14:paraId="45A4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33AFA436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061F5A60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1699BF1F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4F83C47">
            <w:pPr>
              <w:pStyle w:val="5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1CE485A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</w:tr>
      <w:tr w14:paraId="0523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66791453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5DD70B9D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6CDBF273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A5BFFF4">
            <w:pPr>
              <w:pStyle w:val="5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F53A10B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</w:tr>
      <w:tr w14:paraId="7133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5143A69E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14E4F572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02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6A561BCF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7E5D761">
            <w:pPr>
              <w:pStyle w:val="5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36806B2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 w14:paraId="1A4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289FAC6A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3D7C6C24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01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274A8825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F2FB8FD">
            <w:pPr>
              <w:pStyle w:val="5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EA321F9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2457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5C535C22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043BD20A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数媒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02</w:t>
            </w:r>
            <w:bookmarkStart w:id="0" w:name="_GoBack"/>
            <w:bookmarkEnd w:id="0"/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37B11199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3ECEC41A">
            <w:pPr>
              <w:pStyle w:val="5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4031D3A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</w:tr>
      <w:tr w14:paraId="57E6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42" w:type="dxa"/>
            <w:shd w:val="clear" w:color="auto" w:fill="auto"/>
            <w:noWrap w:val="0"/>
            <w:vAlign w:val="center"/>
          </w:tcPr>
          <w:p w14:paraId="416E4DEB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69" w:type="dxa"/>
            <w:shd w:val="clear" w:color="auto" w:fill="auto"/>
            <w:noWrap w:val="0"/>
            <w:vAlign w:val="center"/>
          </w:tcPr>
          <w:p w14:paraId="29323181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56FA6CAF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3934609"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一男一女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AE6F4FE">
            <w:pPr>
              <w:pStyle w:val="5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BA6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11" w:type="dxa"/>
            <w:gridSpan w:val="2"/>
            <w:shd w:val="clear" w:color="auto" w:fill="auto"/>
            <w:noWrap w:val="0"/>
            <w:vAlign w:val="center"/>
          </w:tcPr>
          <w:p w14:paraId="723B91CA">
            <w:pPr>
              <w:pStyle w:val="5"/>
              <w:ind w:left="0" w:leftChars="0"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682" w:type="dxa"/>
            <w:shd w:val="clear" w:color="auto" w:fill="auto"/>
            <w:noWrap w:val="0"/>
            <w:vAlign w:val="center"/>
          </w:tcPr>
          <w:p w14:paraId="2F9B8CCB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7AA9B12">
            <w:pPr>
              <w:pStyle w:val="5"/>
              <w:ind w:left="0" w:leftChars="0" w:firstLine="0" w:firstLineChars="0"/>
              <w:jc w:val="center"/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95C7557"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443</w:t>
            </w:r>
          </w:p>
        </w:tc>
      </w:tr>
    </w:tbl>
    <w:p w14:paraId="5BA2DB51"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、交通工具</w:t>
      </w:r>
    </w:p>
    <w:p w14:paraId="30F193F1">
      <w:pPr>
        <w:pStyle w:val="4"/>
        <w:widowControl/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能容纳45-50人的大巴，1个班级1辆大巴，共计</w:t>
      </w:r>
      <w:r>
        <w:rPr>
          <w:rFonts w:hint="eastAsia" w:ascii="宋体" w:hAnsi="宋体"/>
          <w:kern w:val="2"/>
          <w:lang w:val="en-US" w:eastAsia="zh-CN"/>
        </w:rPr>
        <w:t>14</w:t>
      </w:r>
      <w:r>
        <w:rPr>
          <w:rFonts w:hint="eastAsia" w:ascii="宋体" w:hAnsi="宋体"/>
          <w:kern w:val="2"/>
        </w:rPr>
        <w:t>辆，确保1人1座，中途不换车。要求正规、有营运资质且车况良好的车辆，</w:t>
      </w:r>
      <w:r>
        <w:rPr>
          <w:rFonts w:hint="eastAsia" w:ascii="宋体" w:hAnsi="宋体"/>
          <w:color w:val="auto"/>
          <w:kern w:val="2"/>
        </w:rPr>
        <w:t>车辆使用年限不超过5年（需提供2020年1月后购车记录）；</w:t>
      </w:r>
      <w:r>
        <w:rPr>
          <w:rFonts w:hint="eastAsia" w:ascii="宋体" w:hAnsi="宋体"/>
          <w:kern w:val="2"/>
        </w:rPr>
        <w:t>大巴司乘人员（司机）健康状态优秀，无不良、违法、犯罪记录。（注：需要提供车辆相关资质及司机的健康证明、无犯罪记录等复印件）</w:t>
      </w:r>
    </w:p>
    <w:p w14:paraId="4A1AE813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住宿</w:t>
      </w:r>
    </w:p>
    <w:p w14:paraId="398C0226">
      <w:pPr>
        <w:pStyle w:val="4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教师1-2人/间（根据</w:t>
      </w:r>
      <w:r>
        <w:rPr>
          <w:rFonts w:hint="eastAsia" w:ascii="宋体" w:hAnsi="宋体"/>
          <w:kern w:val="2"/>
          <w:lang w:val="en-US" w:eastAsia="zh-CN"/>
        </w:rPr>
        <w:t>住宿</w:t>
      </w:r>
      <w:r>
        <w:rPr>
          <w:rFonts w:hint="eastAsia" w:ascii="宋体" w:hAnsi="宋体"/>
          <w:kern w:val="2"/>
        </w:rPr>
        <w:t>地点实际情况商定）；</w:t>
      </w:r>
      <w:r>
        <w:rPr>
          <w:rFonts w:hint="eastAsia" w:ascii="宋体" w:hAnsi="宋体"/>
          <w:color w:val="auto"/>
          <w:kern w:val="2"/>
        </w:rPr>
        <w:t>学生</w:t>
      </w:r>
      <w:r>
        <w:rPr>
          <w:rFonts w:hint="eastAsia" w:ascii="宋体" w:hAnsi="宋体"/>
          <w:color w:val="auto"/>
          <w:kern w:val="2"/>
          <w:lang w:val="en-US" w:eastAsia="zh-CN"/>
        </w:rPr>
        <w:t>2-3</w:t>
      </w:r>
      <w:r>
        <w:rPr>
          <w:rFonts w:hint="eastAsia" w:ascii="宋体" w:hAnsi="宋体"/>
          <w:color w:val="auto"/>
          <w:kern w:val="2"/>
        </w:rPr>
        <w:t>人/间</w:t>
      </w:r>
      <w:r>
        <w:rPr>
          <w:rFonts w:hint="eastAsia" w:ascii="宋体" w:hAnsi="宋体"/>
          <w:kern w:val="2"/>
        </w:rPr>
        <w:t>；均提供无线WIFI，独立卫生间，空调，洗澡热水，防蚊虫设备，干净卫生服务好，具备各类安全标准。</w:t>
      </w:r>
    </w:p>
    <w:p w14:paraId="596BE55F"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408" w:lineRule="atLeast"/>
        <w:ind w:firstLine="42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餐饮</w:t>
      </w:r>
    </w:p>
    <w:p w14:paraId="44AFDDE5">
      <w:pPr>
        <w:pStyle w:val="4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  <w:lang w:val="en-US" w:eastAsia="zh-CN"/>
        </w:rPr>
        <w:t>中餐晚餐老师学生自理</w:t>
      </w:r>
      <w:r>
        <w:rPr>
          <w:rFonts w:hint="eastAsia" w:ascii="宋体" w:hAnsi="宋体"/>
          <w:kern w:val="2"/>
        </w:rPr>
        <w:t>；</w:t>
      </w:r>
      <w:r>
        <w:rPr>
          <w:rFonts w:hint="eastAsia" w:ascii="宋体" w:hAnsi="宋体"/>
          <w:kern w:val="2"/>
          <w:lang w:val="en-US" w:eastAsia="zh-CN"/>
        </w:rPr>
        <w:t>住宿酒店含早餐，</w:t>
      </w:r>
      <w:r>
        <w:rPr>
          <w:rFonts w:hint="eastAsia" w:ascii="宋体" w:hAnsi="宋体"/>
          <w:kern w:val="2"/>
        </w:rPr>
        <w:t>干净卫生，确保安全。</w:t>
      </w:r>
    </w:p>
    <w:p w14:paraId="6573D466">
      <w:pPr>
        <w:pStyle w:val="4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6、保险</w:t>
      </w:r>
    </w:p>
    <w:p w14:paraId="207DD066">
      <w:pPr>
        <w:pStyle w:val="4"/>
        <w:widowControl/>
        <w:shd w:val="clear" w:color="auto" w:fill="FFFFFF"/>
        <w:spacing w:beforeAutospacing="0" w:afterAutospacing="0" w:line="408" w:lineRule="atLeast"/>
        <w:ind w:firstLine="480" w:firstLineChars="20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代购旅游意外保险，每人保额2</w:t>
      </w:r>
      <w:r>
        <w:rPr>
          <w:rFonts w:ascii="宋体" w:hAnsi="宋体"/>
          <w:kern w:val="2"/>
        </w:rPr>
        <w:t>0</w:t>
      </w:r>
      <w:r>
        <w:rPr>
          <w:rFonts w:hint="eastAsia" w:ascii="宋体" w:hAnsi="宋体"/>
          <w:kern w:val="2"/>
        </w:rPr>
        <w:t>万元。</w:t>
      </w:r>
    </w:p>
    <w:p w14:paraId="6DC431D6">
      <w:pPr>
        <w:pStyle w:val="4"/>
        <w:widowControl/>
        <w:shd w:val="clear" w:color="auto" w:fill="FFFFFF"/>
        <w:spacing w:beforeAutospacing="0" w:afterAutospacing="0" w:line="408" w:lineRule="atLeast"/>
        <w:ind w:firstLine="48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7、其他</w:t>
      </w:r>
    </w:p>
    <w:p w14:paraId="08D858A7"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安全保障，全面负责团队的人身安全以及教学生活管理，承担突发事故的应急处理和后续服务等。</w:t>
      </w:r>
    </w:p>
    <w:p w14:paraId="55CAE7A0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二、采购商务要求</w:t>
      </w:r>
    </w:p>
    <w:p w14:paraId="6424CC8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1、服务时间要求：2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r>
        <w:rPr>
          <w:rFonts w:hint="eastAsia" w:ascii="宋体" w:hAnsi="宋体"/>
          <w:sz w:val="24"/>
        </w:rPr>
        <w:t>日-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日（若有时间调整，提前告知）。</w:t>
      </w:r>
    </w:p>
    <w:p w14:paraId="72C723F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、服务地点：芜湖市湾沚区永和路1号。</w:t>
      </w:r>
    </w:p>
    <w:p w14:paraId="2B666922">
      <w:pPr>
        <w:ind w:firstLine="480" w:firstLineChars="200"/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、付款方式：服务完成</w:t>
      </w:r>
      <w:r>
        <w:rPr>
          <w:rFonts w:hint="eastAsia" w:ascii="宋体" w:hAnsi="宋体"/>
          <w:sz w:val="24"/>
          <w:lang w:val="en-US" w:eastAsia="zh-CN"/>
        </w:rPr>
        <w:t>验收合格</w:t>
      </w:r>
      <w:r>
        <w:rPr>
          <w:rFonts w:hint="eastAsia" w:ascii="宋体" w:hAnsi="宋体"/>
          <w:sz w:val="24"/>
        </w:rPr>
        <w:t>，收到乙方等额发票之日起30个工作日内支付合同金额全款。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F016B"/>
    <w:multiLevelType w:val="singleLevel"/>
    <w:tmpl w:val="F7EF01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769A3"/>
    <w:rsid w:val="27AF0144"/>
    <w:rsid w:val="620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5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1358</Words>
  <Characters>1484</Characters>
  <Lines>0</Lines>
  <Paragraphs>0</Paragraphs>
  <TotalTime>1</TotalTime>
  <ScaleCrop>false</ScaleCrop>
  <LinksUpToDate>false</LinksUpToDate>
  <CharactersWithSpaces>1487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2025-08-05T03:04:00Z</dcterms:created>
  <dc:creator>神光毓逍遥</dc:creator>
  <cp:lastModifiedBy>神光毓逍遥</cp:lastModifiedBy>
  <dcterms:modified xsi:type="dcterms:W3CDTF">2025-09-17T07:08:24Z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0A3968C1824344C5982C6FFB822584C4_11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