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08D9B">
      <w:pPr>
        <w:jc w:val="center"/>
        <w:rPr>
          <w:rFonts w:hint="default" w:eastAsia="宋体"/>
          <w:lang w:val="en-US" w:eastAsia="zh-CN"/>
        </w:rPr>
      </w:pPr>
      <w:bookmarkStart w:id="0" w:name="_GoBack"/>
      <w:r>
        <w:rPr>
          <w:rFonts w:hint="eastAsia"/>
          <w:sz w:val="28"/>
          <w:szCs w:val="28"/>
          <w:lang w:val="en-US" w:eastAsia="zh-CN"/>
        </w:rPr>
        <w:t>附件：智能化运维配件采购数量及</w:t>
      </w:r>
      <w:r>
        <w:rPr>
          <w:rFonts w:hint="eastAsia" w:ascii="宋体" w:hAnsi="宋体" w:eastAsia="宋体" w:cs="宋体"/>
          <w:i w:val="0"/>
          <w:iCs w:val="0"/>
          <w:color w:val="000000"/>
          <w:kern w:val="0"/>
          <w:sz w:val="28"/>
          <w:szCs w:val="28"/>
          <w:u w:val="none"/>
          <w:lang w:val="en-US" w:eastAsia="zh-CN" w:bidi="ar"/>
        </w:rPr>
        <w:t>机房集中管控</w:t>
      </w:r>
      <w:r>
        <w:rPr>
          <w:rFonts w:hint="eastAsia" w:ascii="宋体" w:hAnsi="宋体" w:cs="宋体"/>
          <w:i w:val="0"/>
          <w:iCs w:val="0"/>
          <w:color w:val="000000"/>
          <w:kern w:val="0"/>
          <w:sz w:val="28"/>
          <w:szCs w:val="28"/>
          <w:u w:val="none"/>
          <w:lang w:val="en-US" w:eastAsia="zh-CN" w:bidi="ar"/>
        </w:rPr>
        <w:t>软件租赁要求</w:t>
      </w:r>
      <w:bookmarkEnd w:id="0"/>
    </w:p>
    <w:p w14:paraId="28476232">
      <w:pPr>
        <w:adjustRightInd w:val="0"/>
        <w:snapToGrid w:val="0"/>
        <w:spacing w:line="580" w:lineRule="exact"/>
        <w:rPr>
          <w:rFonts w:hint="default" w:ascii="宋体" w:hAnsi="宋体"/>
          <w:color w:val="auto"/>
          <w:sz w:val="24"/>
          <w:szCs w:val="24"/>
          <w:lang w:val="en-US"/>
        </w:rPr>
      </w:pPr>
      <w:r>
        <w:rPr>
          <w:rFonts w:hint="eastAsia" w:ascii="宋体" w:hAnsi="宋体" w:cs="宋体"/>
          <w:b/>
          <w:bCs/>
          <w:color w:val="auto"/>
          <w:sz w:val="24"/>
          <w:lang w:bidi="zh-TW"/>
        </w:rPr>
        <w:t>一、采购技术要求</w:t>
      </w:r>
    </w:p>
    <w:p w14:paraId="5ABCC908">
      <w:pPr>
        <w:spacing w:line="360" w:lineRule="auto"/>
        <w:outlineLvl w:val="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1、智能化零星配件清单：</w:t>
      </w:r>
    </w:p>
    <w:tbl>
      <w:tblPr>
        <w:tblStyle w:val="10"/>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988"/>
        <w:gridCol w:w="3016"/>
        <w:gridCol w:w="577"/>
        <w:gridCol w:w="563"/>
        <w:gridCol w:w="1565"/>
        <w:gridCol w:w="1356"/>
      </w:tblGrid>
      <w:tr w14:paraId="5225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640" w:type="dxa"/>
            <w:vAlign w:val="center"/>
          </w:tcPr>
          <w:p w14:paraId="436EE092">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序号</w:t>
            </w:r>
          </w:p>
        </w:tc>
        <w:tc>
          <w:tcPr>
            <w:tcW w:w="1131" w:type="dxa"/>
            <w:vAlign w:val="center"/>
          </w:tcPr>
          <w:p w14:paraId="5C9D0F70">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设备名称</w:t>
            </w:r>
          </w:p>
        </w:tc>
        <w:tc>
          <w:tcPr>
            <w:tcW w:w="3179" w:type="dxa"/>
            <w:vAlign w:val="center"/>
          </w:tcPr>
          <w:p w14:paraId="1F9A0981">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投标参数</w:t>
            </w:r>
          </w:p>
        </w:tc>
        <w:tc>
          <w:tcPr>
            <w:tcW w:w="590" w:type="dxa"/>
            <w:vAlign w:val="center"/>
          </w:tcPr>
          <w:p w14:paraId="5BB76569">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单位</w:t>
            </w:r>
          </w:p>
        </w:tc>
        <w:tc>
          <w:tcPr>
            <w:tcW w:w="570" w:type="dxa"/>
            <w:vAlign w:val="center"/>
          </w:tcPr>
          <w:p w14:paraId="2C0A9B0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数量</w:t>
            </w:r>
          </w:p>
        </w:tc>
        <w:tc>
          <w:tcPr>
            <w:tcW w:w="1860" w:type="dxa"/>
            <w:vAlign w:val="center"/>
          </w:tcPr>
          <w:p w14:paraId="7CBBDDDB">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用途</w:t>
            </w:r>
          </w:p>
        </w:tc>
        <w:tc>
          <w:tcPr>
            <w:tcW w:w="1609" w:type="dxa"/>
            <w:vAlign w:val="center"/>
          </w:tcPr>
          <w:p w14:paraId="45B8FF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参考品牌</w:t>
            </w:r>
          </w:p>
        </w:tc>
      </w:tr>
      <w:tr w14:paraId="209E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F1DF8CF">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31" w:type="dxa"/>
            <w:vAlign w:val="center"/>
          </w:tcPr>
          <w:p w14:paraId="56C752AE">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机房集中管控云平台</w:t>
            </w:r>
          </w:p>
        </w:tc>
        <w:tc>
          <w:tcPr>
            <w:tcW w:w="3179" w:type="dxa"/>
            <w:vAlign w:val="center"/>
          </w:tcPr>
          <w:p w14:paraId="646B6171">
            <w:pPr>
              <w:jc w:val="center"/>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详见下表；</w:t>
            </w:r>
            <w:r>
              <w:rPr>
                <w:rFonts w:hint="eastAsia" w:asciiTheme="minorEastAsia" w:hAnsiTheme="minorEastAsia" w:eastAsiaTheme="minorEastAsia" w:cstheme="minorEastAsia"/>
                <w:color w:val="FF0000"/>
                <w:sz w:val="24"/>
                <w:szCs w:val="24"/>
                <w:vertAlign w:val="baseline"/>
                <w:lang w:val="en-US" w:eastAsia="zh-CN"/>
              </w:rPr>
              <w:t>分3年租赁</w:t>
            </w:r>
          </w:p>
        </w:tc>
        <w:tc>
          <w:tcPr>
            <w:tcW w:w="590" w:type="dxa"/>
            <w:vAlign w:val="center"/>
          </w:tcPr>
          <w:p w14:paraId="5DE6853D">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年</w:t>
            </w:r>
          </w:p>
        </w:tc>
        <w:tc>
          <w:tcPr>
            <w:tcW w:w="570" w:type="dxa"/>
            <w:vAlign w:val="center"/>
          </w:tcPr>
          <w:p w14:paraId="56B2CA16">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860" w:type="dxa"/>
            <w:vAlign w:val="center"/>
          </w:tcPr>
          <w:p w14:paraId="6D479D28">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用于A2N203机房统一集中管控</w:t>
            </w:r>
          </w:p>
        </w:tc>
        <w:tc>
          <w:tcPr>
            <w:tcW w:w="1609" w:type="dxa"/>
            <w:vAlign w:val="center"/>
          </w:tcPr>
          <w:p w14:paraId="3D693F7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r>
      <w:tr w14:paraId="4AFA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D967E7D">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131" w:type="dxa"/>
            <w:vAlign w:val="center"/>
          </w:tcPr>
          <w:p w14:paraId="600AB162">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成品网线</w:t>
            </w:r>
          </w:p>
        </w:tc>
        <w:tc>
          <w:tcPr>
            <w:tcW w:w="3179" w:type="dxa"/>
            <w:vAlign w:val="center"/>
          </w:tcPr>
          <w:p w14:paraId="7CED1CE5">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auto"/>
                <w:kern w:val="0"/>
                <w:sz w:val="22"/>
                <w:szCs w:val="22"/>
                <w:u w:val="none"/>
                <w:lang w:val="en-US" w:eastAsia="zh-CN" w:bidi="ar"/>
              </w:rPr>
              <w:t>六类网线 2米</w:t>
            </w:r>
          </w:p>
        </w:tc>
        <w:tc>
          <w:tcPr>
            <w:tcW w:w="590" w:type="dxa"/>
            <w:vAlign w:val="center"/>
          </w:tcPr>
          <w:p w14:paraId="6A085C0D">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762BE72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860" w:type="dxa"/>
            <w:vAlign w:val="center"/>
          </w:tcPr>
          <w:p w14:paraId="50A1ECE1">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用于学院网络故障维修</w:t>
            </w:r>
          </w:p>
        </w:tc>
        <w:tc>
          <w:tcPr>
            <w:tcW w:w="1609" w:type="dxa"/>
            <w:vAlign w:val="bottom"/>
          </w:tcPr>
          <w:p w14:paraId="1D921409">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绿联、山泽、蓝风鹰</w:t>
            </w:r>
          </w:p>
        </w:tc>
      </w:tr>
      <w:tr w14:paraId="759A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948C6B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131" w:type="dxa"/>
            <w:vAlign w:val="center"/>
          </w:tcPr>
          <w:p w14:paraId="0827F71B">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成品网线</w:t>
            </w:r>
          </w:p>
        </w:tc>
        <w:tc>
          <w:tcPr>
            <w:tcW w:w="3179" w:type="dxa"/>
            <w:vAlign w:val="center"/>
          </w:tcPr>
          <w:p w14:paraId="24BE3202">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auto"/>
                <w:kern w:val="0"/>
                <w:sz w:val="22"/>
                <w:szCs w:val="22"/>
                <w:u w:val="none"/>
                <w:lang w:val="en-US" w:eastAsia="zh-CN" w:bidi="ar"/>
              </w:rPr>
              <w:t>六类网线 5米</w:t>
            </w:r>
          </w:p>
        </w:tc>
        <w:tc>
          <w:tcPr>
            <w:tcW w:w="590" w:type="dxa"/>
            <w:vAlign w:val="center"/>
          </w:tcPr>
          <w:p w14:paraId="2FF6779F">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152B5F5E">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860" w:type="dxa"/>
            <w:vAlign w:val="center"/>
          </w:tcPr>
          <w:p w14:paraId="0D5D3019">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用于学院网络故障维修</w:t>
            </w:r>
          </w:p>
        </w:tc>
        <w:tc>
          <w:tcPr>
            <w:tcW w:w="1609" w:type="dxa"/>
            <w:vAlign w:val="bottom"/>
          </w:tcPr>
          <w:p w14:paraId="663B491D">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绿联、山泽、蓝风鹰</w:t>
            </w:r>
          </w:p>
        </w:tc>
      </w:tr>
      <w:tr w14:paraId="1CCB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B7CCCBD">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131" w:type="dxa"/>
            <w:vAlign w:val="center"/>
          </w:tcPr>
          <w:p w14:paraId="5C13702C">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成品网线</w:t>
            </w:r>
          </w:p>
        </w:tc>
        <w:tc>
          <w:tcPr>
            <w:tcW w:w="3179" w:type="dxa"/>
            <w:vAlign w:val="center"/>
          </w:tcPr>
          <w:p w14:paraId="426916F8">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auto"/>
                <w:kern w:val="0"/>
                <w:sz w:val="22"/>
                <w:szCs w:val="22"/>
                <w:u w:val="none"/>
                <w:lang w:val="en-US" w:eastAsia="zh-CN" w:bidi="ar"/>
              </w:rPr>
              <w:t>六类网线 10米</w:t>
            </w:r>
          </w:p>
        </w:tc>
        <w:tc>
          <w:tcPr>
            <w:tcW w:w="590" w:type="dxa"/>
            <w:vAlign w:val="center"/>
          </w:tcPr>
          <w:p w14:paraId="55DE3DC3">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447F7E13">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860" w:type="dxa"/>
            <w:vAlign w:val="center"/>
          </w:tcPr>
          <w:p w14:paraId="4A3813BC">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用于学院网络故障维修</w:t>
            </w:r>
          </w:p>
        </w:tc>
        <w:tc>
          <w:tcPr>
            <w:tcW w:w="1609" w:type="dxa"/>
            <w:vAlign w:val="bottom"/>
          </w:tcPr>
          <w:p w14:paraId="2AFB3F60">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绿联、山泽、蓝风鹰</w:t>
            </w:r>
          </w:p>
        </w:tc>
      </w:tr>
      <w:tr w14:paraId="0ABF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FE57B2D">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131" w:type="dxa"/>
            <w:vAlign w:val="center"/>
          </w:tcPr>
          <w:p w14:paraId="6C3339BE">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固态硬盘</w:t>
            </w:r>
          </w:p>
        </w:tc>
        <w:tc>
          <w:tcPr>
            <w:tcW w:w="3179" w:type="dxa"/>
            <w:vAlign w:val="center"/>
          </w:tcPr>
          <w:p w14:paraId="60291F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480GB SSD固态硬盘 SATA3.0接口  </w:t>
            </w:r>
          </w:p>
          <w:p w14:paraId="59EDE99A">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读速高达500MB/s</w:t>
            </w:r>
          </w:p>
        </w:tc>
        <w:tc>
          <w:tcPr>
            <w:tcW w:w="590" w:type="dxa"/>
            <w:vAlign w:val="center"/>
          </w:tcPr>
          <w:p w14:paraId="14F2BD77">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570" w:type="dxa"/>
            <w:vAlign w:val="center"/>
          </w:tcPr>
          <w:p w14:paraId="53441D22">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860" w:type="dxa"/>
            <w:vAlign w:val="center"/>
          </w:tcPr>
          <w:p w14:paraId="2C146ED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用于维修电脑</w:t>
            </w:r>
          </w:p>
        </w:tc>
        <w:tc>
          <w:tcPr>
            <w:tcW w:w="1609" w:type="dxa"/>
            <w:vAlign w:val="bottom"/>
          </w:tcPr>
          <w:p w14:paraId="3FF73DD4">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金士顿、闪迪、联想</w:t>
            </w:r>
          </w:p>
        </w:tc>
      </w:tr>
      <w:tr w14:paraId="5E10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55CC63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131" w:type="dxa"/>
            <w:vAlign w:val="center"/>
          </w:tcPr>
          <w:p w14:paraId="2D221F17">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固态硬盘</w:t>
            </w:r>
          </w:p>
        </w:tc>
        <w:tc>
          <w:tcPr>
            <w:tcW w:w="3179" w:type="dxa"/>
            <w:vAlign w:val="center"/>
          </w:tcPr>
          <w:p w14:paraId="750B4A00">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1TB SATA3 SSD固态硬盘 读速高达550MB/s</w:t>
            </w:r>
          </w:p>
        </w:tc>
        <w:tc>
          <w:tcPr>
            <w:tcW w:w="590" w:type="dxa"/>
            <w:vAlign w:val="center"/>
          </w:tcPr>
          <w:p w14:paraId="12AE14D9">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570" w:type="dxa"/>
            <w:vAlign w:val="center"/>
          </w:tcPr>
          <w:p w14:paraId="1532EAAF">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860" w:type="dxa"/>
            <w:vAlign w:val="center"/>
          </w:tcPr>
          <w:p w14:paraId="0CF4ABD6">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用于维修电脑</w:t>
            </w:r>
          </w:p>
        </w:tc>
        <w:tc>
          <w:tcPr>
            <w:tcW w:w="1609" w:type="dxa"/>
            <w:vAlign w:val="bottom"/>
          </w:tcPr>
          <w:p w14:paraId="0A02CA20">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金士顿、闪迪、联想</w:t>
            </w:r>
          </w:p>
        </w:tc>
      </w:tr>
      <w:tr w14:paraId="3262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FC052A9">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131" w:type="dxa"/>
            <w:vAlign w:val="center"/>
          </w:tcPr>
          <w:p w14:paraId="4425606D">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笔记本内存条</w:t>
            </w:r>
          </w:p>
        </w:tc>
        <w:tc>
          <w:tcPr>
            <w:tcW w:w="3179" w:type="dxa"/>
            <w:vAlign w:val="center"/>
          </w:tcPr>
          <w:p w14:paraId="5D8AEFD6">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8GB DDR4 3200 </w:t>
            </w:r>
          </w:p>
        </w:tc>
        <w:tc>
          <w:tcPr>
            <w:tcW w:w="590" w:type="dxa"/>
            <w:vAlign w:val="center"/>
          </w:tcPr>
          <w:p w14:paraId="49F5199F">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6E87983A">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860" w:type="dxa"/>
            <w:vAlign w:val="center"/>
          </w:tcPr>
          <w:p w14:paraId="2EEF4AC1">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桌面运维使用</w:t>
            </w:r>
          </w:p>
        </w:tc>
        <w:tc>
          <w:tcPr>
            <w:tcW w:w="1609" w:type="dxa"/>
            <w:vAlign w:val="bottom"/>
          </w:tcPr>
          <w:p w14:paraId="1824FA70">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金士顿、三星、金百达</w:t>
            </w:r>
          </w:p>
        </w:tc>
      </w:tr>
      <w:tr w14:paraId="2781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059117D3">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131" w:type="dxa"/>
            <w:vAlign w:val="center"/>
          </w:tcPr>
          <w:p w14:paraId="4A5FA833">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笔记本内存条</w:t>
            </w:r>
          </w:p>
        </w:tc>
        <w:tc>
          <w:tcPr>
            <w:tcW w:w="3179" w:type="dxa"/>
            <w:vAlign w:val="center"/>
          </w:tcPr>
          <w:p w14:paraId="3D842535">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16GB DDR4 3200 </w:t>
            </w:r>
          </w:p>
        </w:tc>
        <w:tc>
          <w:tcPr>
            <w:tcW w:w="590" w:type="dxa"/>
            <w:vAlign w:val="center"/>
          </w:tcPr>
          <w:p w14:paraId="0143BF71">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260B271F">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860" w:type="dxa"/>
            <w:vAlign w:val="center"/>
          </w:tcPr>
          <w:p w14:paraId="38DC8D93">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桌面运维使用</w:t>
            </w:r>
          </w:p>
        </w:tc>
        <w:tc>
          <w:tcPr>
            <w:tcW w:w="1609" w:type="dxa"/>
            <w:vAlign w:val="bottom"/>
          </w:tcPr>
          <w:p w14:paraId="2E2B6B79">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金士顿、三星、金百达</w:t>
            </w:r>
          </w:p>
        </w:tc>
      </w:tr>
      <w:tr w14:paraId="629A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BC4069E">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131" w:type="dxa"/>
            <w:vAlign w:val="center"/>
          </w:tcPr>
          <w:p w14:paraId="4F257ABC">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台式机内存条</w:t>
            </w:r>
          </w:p>
        </w:tc>
        <w:tc>
          <w:tcPr>
            <w:tcW w:w="3179" w:type="dxa"/>
            <w:vAlign w:val="center"/>
          </w:tcPr>
          <w:p w14:paraId="39F54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8GB DDR4 2666  </w:t>
            </w:r>
          </w:p>
          <w:p w14:paraId="1615450E">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台式机内存条</w:t>
            </w:r>
          </w:p>
        </w:tc>
        <w:tc>
          <w:tcPr>
            <w:tcW w:w="590" w:type="dxa"/>
            <w:vAlign w:val="center"/>
          </w:tcPr>
          <w:p w14:paraId="32283E01">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4609E4C5">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150</w:t>
            </w:r>
          </w:p>
        </w:tc>
        <w:tc>
          <w:tcPr>
            <w:tcW w:w="1860" w:type="dxa"/>
            <w:vAlign w:val="center"/>
          </w:tcPr>
          <w:p w14:paraId="5C53484A">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用于更换A2N203机房65台电脑以及备用</w:t>
            </w:r>
          </w:p>
        </w:tc>
        <w:tc>
          <w:tcPr>
            <w:tcW w:w="1609" w:type="dxa"/>
            <w:vAlign w:val="bottom"/>
          </w:tcPr>
          <w:p w14:paraId="3533A271">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金士顿、三星、金百达</w:t>
            </w:r>
          </w:p>
        </w:tc>
      </w:tr>
      <w:tr w14:paraId="602B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615603F">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131" w:type="dxa"/>
            <w:vAlign w:val="center"/>
          </w:tcPr>
          <w:p w14:paraId="27DD49B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台式机内存条</w:t>
            </w:r>
          </w:p>
        </w:tc>
        <w:tc>
          <w:tcPr>
            <w:tcW w:w="3179" w:type="dxa"/>
            <w:vAlign w:val="center"/>
          </w:tcPr>
          <w:p w14:paraId="0555F1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16GB DDR4 3200  </w:t>
            </w:r>
          </w:p>
          <w:p w14:paraId="78673985">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台式机内存条</w:t>
            </w:r>
          </w:p>
        </w:tc>
        <w:tc>
          <w:tcPr>
            <w:tcW w:w="590" w:type="dxa"/>
            <w:vAlign w:val="center"/>
          </w:tcPr>
          <w:p w14:paraId="4821EEC8">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474F4817">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860" w:type="dxa"/>
            <w:vAlign w:val="center"/>
          </w:tcPr>
          <w:p w14:paraId="228EBA38">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用于维修电脑</w:t>
            </w:r>
          </w:p>
        </w:tc>
        <w:tc>
          <w:tcPr>
            <w:tcW w:w="1609" w:type="dxa"/>
            <w:vAlign w:val="bottom"/>
          </w:tcPr>
          <w:p w14:paraId="6569BE3C">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金士顿、三星、金百达</w:t>
            </w:r>
          </w:p>
        </w:tc>
      </w:tr>
      <w:tr w14:paraId="7844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E07FDE6">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131" w:type="dxa"/>
            <w:vAlign w:val="center"/>
          </w:tcPr>
          <w:p w14:paraId="567F685D">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无线鼠标</w:t>
            </w:r>
          </w:p>
        </w:tc>
        <w:tc>
          <w:tcPr>
            <w:tcW w:w="3179" w:type="dxa"/>
            <w:vAlign w:val="center"/>
          </w:tcPr>
          <w:p w14:paraId="30867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USB接收器，黑色，</w:t>
            </w:r>
          </w:p>
          <w:p w14:paraId="76A3C33A">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静音鼠标</w:t>
            </w:r>
          </w:p>
        </w:tc>
        <w:tc>
          <w:tcPr>
            <w:tcW w:w="590" w:type="dxa"/>
            <w:vAlign w:val="center"/>
          </w:tcPr>
          <w:p w14:paraId="0ED04567">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570" w:type="dxa"/>
            <w:vAlign w:val="center"/>
          </w:tcPr>
          <w:p w14:paraId="6119B92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860" w:type="dxa"/>
            <w:vAlign w:val="center"/>
          </w:tcPr>
          <w:p w14:paraId="6A5BD4D9">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桌面运维使用</w:t>
            </w:r>
          </w:p>
        </w:tc>
        <w:tc>
          <w:tcPr>
            <w:tcW w:w="1609" w:type="dxa"/>
            <w:vAlign w:val="bottom"/>
          </w:tcPr>
          <w:p w14:paraId="275549D7">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小米、罗技、联想</w:t>
            </w:r>
          </w:p>
        </w:tc>
      </w:tr>
      <w:tr w14:paraId="6738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316ED7F">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131" w:type="dxa"/>
            <w:vAlign w:val="center"/>
          </w:tcPr>
          <w:p w14:paraId="551927B3">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5号电池</w:t>
            </w:r>
          </w:p>
        </w:tc>
        <w:tc>
          <w:tcPr>
            <w:tcW w:w="3179" w:type="dxa"/>
            <w:vAlign w:val="center"/>
          </w:tcPr>
          <w:p w14:paraId="2803EBB5">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5号电池40粒 五号碱性 </w:t>
            </w:r>
          </w:p>
        </w:tc>
        <w:tc>
          <w:tcPr>
            <w:tcW w:w="590" w:type="dxa"/>
            <w:vAlign w:val="center"/>
          </w:tcPr>
          <w:p w14:paraId="33BF185B">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盒/40粒</w:t>
            </w:r>
          </w:p>
        </w:tc>
        <w:tc>
          <w:tcPr>
            <w:tcW w:w="570" w:type="dxa"/>
            <w:vAlign w:val="center"/>
          </w:tcPr>
          <w:p w14:paraId="4AFBAF98">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1860" w:type="dxa"/>
            <w:vAlign w:val="center"/>
          </w:tcPr>
          <w:p w14:paraId="5843926B">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大型活动、会议室、电波钟使用</w:t>
            </w:r>
          </w:p>
        </w:tc>
        <w:tc>
          <w:tcPr>
            <w:tcW w:w="1609" w:type="dxa"/>
            <w:vAlign w:val="bottom"/>
          </w:tcPr>
          <w:p w14:paraId="72EEE507">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南孚、双鹿、金霸王</w:t>
            </w:r>
          </w:p>
        </w:tc>
      </w:tr>
      <w:tr w14:paraId="39A0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D84863E">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131" w:type="dxa"/>
            <w:vAlign w:val="center"/>
          </w:tcPr>
          <w:p w14:paraId="6A9CFD8B">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5号充电锂电池</w:t>
            </w:r>
          </w:p>
        </w:tc>
        <w:tc>
          <w:tcPr>
            <w:tcW w:w="3179" w:type="dxa"/>
            <w:vAlign w:val="center"/>
          </w:tcPr>
          <w:p w14:paraId="383F5C10">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5号充电锂电池4粒 1.5V恒压快充</w:t>
            </w:r>
          </w:p>
        </w:tc>
        <w:tc>
          <w:tcPr>
            <w:tcW w:w="590" w:type="dxa"/>
            <w:vAlign w:val="center"/>
          </w:tcPr>
          <w:p w14:paraId="22D72216">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盒/4粒</w:t>
            </w:r>
          </w:p>
        </w:tc>
        <w:tc>
          <w:tcPr>
            <w:tcW w:w="570" w:type="dxa"/>
            <w:vAlign w:val="center"/>
          </w:tcPr>
          <w:p w14:paraId="56F2CACA">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860" w:type="dxa"/>
            <w:vAlign w:val="center"/>
          </w:tcPr>
          <w:p w14:paraId="41683961">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多媒体教室、公共机房使用</w:t>
            </w:r>
          </w:p>
        </w:tc>
        <w:tc>
          <w:tcPr>
            <w:tcW w:w="1609" w:type="dxa"/>
            <w:vAlign w:val="bottom"/>
          </w:tcPr>
          <w:p w14:paraId="42BAE4CF">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南孚、双鹿、金霸王</w:t>
            </w:r>
          </w:p>
        </w:tc>
      </w:tr>
      <w:tr w14:paraId="4BB3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D5DB4EE">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cs="宋体"/>
                <w:i w:val="0"/>
                <w:iCs w:val="0"/>
                <w:color w:val="000000"/>
                <w:kern w:val="0"/>
                <w:sz w:val="22"/>
                <w:szCs w:val="22"/>
                <w:u w:val="none"/>
                <w:lang w:val="en-US" w:eastAsia="zh-CN" w:bidi="ar"/>
              </w:rPr>
              <w:t>14</w:t>
            </w:r>
          </w:p>
        </w:tc>
        <w:tc>
          <w:tcPr>
            <w:tcW w:w="1131" w:type="dxa"/>
            <w:vAlign w:val="center"/>
          </w:tcPr>
          <w:p w14:paraId="2D568F80">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主机电源</w:t>
            </w:r>
          </w:p>
        </w:tc>
        <w:tc>
          <w:tcPr>
            <w:tcW w:w="3179" w:type="dxa"/>
            <w:vAlign w:val="center"/>
          </w:tcPr>
          <w:p w14:paraId="31D702B1">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额定500W</w:t>
            </w:r>
          </w:p>
        </w:tc>
        <w:tc>
          <w:tcPr>
            <w:tcW w:w="590" w:type="dxa"/>
            <w:vAlign w:val="center"/>
          </w:tcPr>
          <w:p w14:paraId="08911B82">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570" w:type="dxa"/>
            <w:vAlign w:val="center"/>
          </w:tcPr>
          <w:p w14:paraId="1E155FE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860" w:type="dxa"/>
            <w:vAlign w:val="center"/>
          </w:tcPr>
          <w:p w14:paraId="5FE01E4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用于主机电脑维修</w:t>
            </w:r>
          </w:p>
        </w:tc>
        <w:tc>
          <w:tcPr>
            <w:tcW w:w="1609" w:type="dxa"/>
            <w:vAlign w:val="bottom"/>
          </w:tcPr>
          <w:p w14:paraId="60167111">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航嘉、长城、金河田</w:t>
            </w:r>
          </w:p>
        </w:tc>
      </w:tr>
      <w:tr w14:paraId="1577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5B7B029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cs="宋体"/>
                <w:i w:val="0"/>
                <w:iCs w:val="0"/>
                <w:color w:val="000000"/>
                <w:kern w:val="0"/>
                <w:sz w:val="22"/>
                <w:szCs w:val="22"/>
                <w:u w:val="none"/>
                <w:lang w:val="en-US" w:eastAsia="zh-CN" w:bidi="ar"/>
              </w:rPr>
              <w:t>15</w:t>
            </w:r>
          </w:p>
        </w:tc>
        <w:tc>
          <w:tcPr>
            <w:tcW w:w="1131" w:type="dxa"/>
            <w:vAlign w:val="center"/>
          </w:tcPr>
          <w:p w14:paraId="0E4A615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auto"/>
                <w:kern w:val="0"/>
                <w:sz w:val="22"/>
                <w:szCs w:val="22"/>
                <w:u w:val="none"/>
                <w:lang w:val="en-US" w:eastAsia="zh-CN" w:bidi="ar"/>
              </w:rPr>
              <w:t xml:space="preserve"> </w:t>
            </w:r>
            <w:r>
              <w:rPr>
                <w:rStyle w:val="12"/>
                <w:color w:val="auto"/>
                <w:lang w:val="en-US" w:eastAsia="zh-CN" w:bidi="ar"/>
              </w:rPr>
              <w:t xml:space="preserve">台式电脑机箱 </w:t>
            </w:r>
          </w:p>
        </w:tc>
        <w:tc>
          <w:tcPr>
            <w:tcW w:w="3179" w:type="dxa"/>
            <w:vAlign w:val="center"/>
          </w:tcPr>
          <w:p w14:paraId="40622D86">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中塔式，前置开关面板及USB接口</w:t>
            </w:r>
          </w:p>
        </w:tc>
        <w:tc>
          <w:tcPr>
            <w:tcW w:w="590" w:type="dxa"/>
            <w:vAlign w:val="center"/>
          </w:tcPr>
          <w:p w14:paraId="13C3B34A">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570" w:type="dxa"/>
            <w:vAlign w:val="center"/>
          </w:tcPr>
          <w:p w14:paraId="77591091">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860" w:type="dxa"/>
            <w:vAlign w:val="center"/>
          </w:tcPr>
          <w:p w14:paraId="4B152A28">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用于维修多媒体教室及机房电脑</w:t>
            </w:r>
          </w:p>
        </w:tc>
        <w:tc>
          <w:tcPr>
            <w:tcW w:w="1609" w:type="dxa"/>
            <w:vAlign w:val="bottom"/>
          </w:tcPr>
          <w:p w14:paraId="0193A996">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航嘉、AOC、金河田</w:t>
            </w:r>
          </w:p>
        </w:tc>
      </w:tr>
      <w:tr w14:paraId="4BC9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1B4520C">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cs="宋体"/>
                <w:i w:val="0"/>
                <w:iCs w:val="0"/>
                <w:color w:val="000000"/>
                <w:kern w:val="0"/>
                <w:sz w:val="22"/>
                <w:szCs w:val="22"/>
                <w:u w:val="none"/>
                <w:lang w:val="en-US" w:eastAsia="zh-CN" w:bidi="ar"/>
              </w:rPr>
              <w:t>16</w:t>
            </w:r>
          </w:p>
        </w:tc>
        <w:tc>
          <w:tcPr>
            <w:tcW w:w="1131" w:type="dxa"/>
            <w:vAlign w:val="center"/>
          </w:tcPr>
          <w:p w14:paraId="3780EF78">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键鼠套装</w:t>
            </w:r>
          </w:p>
        </w:tc>
        <w:tc>
          <w:tcPr>
            <w:tcW w:w="3179" w:type="dxa"/>
            <w:vAlign w:val="center"/>
          </w:tcPr>
          <w:p w14:paraId="04C58665">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有线键鼠套装</w:t>
            </w:r>
          </w:p>
        </w:tc>
        <w:tc>
          <w:tcPr>
            <w:tcW w:w="590" w:type="dxa"/>
            <w:vAlign w:val="center"/>
          </w:tcPr>
          <w:p w14:paraId="6036C5F3">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570" w:type="dxa"/>
            <w:vAlign w:val="center"/>
          </w:tcPr>
          <w:p w14:paraId="47755501">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860" w:type="dxa"/>
            <w:vAlign w:val="center"/>
          </w:tcPr>
          <w:p w14:paraId="26D18E6A">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用于维修多媒体教室及机房电脑</w:t>
            </w:r>
          </w:p>
        </w:tc>
        <w:tc>
          <w:tcPr>
            <w:tcW w:w="1609" w:type="dxa"/>
            <w:vAlign w:val="bottom"/>
          </w:tcPr>
          <w:p w14:paraId="60F0CA81">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罗技、联想、戴尔</w:t>
            </w:r>
          </w:p>
        </w:tc>
      </w:tr>
      <w:tr w14:paraId="7131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6CD63BD0">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cs="宋体"/>
                <w:i w:val="0"/>
                <w:iCs w:val="0"/>
                <w:color w:val="000000"/>
                <w:kern w:val="0"/>
                <w:sz w:val="22"/>
                <w:szCs w:val="22"/>
                <w:u w:val="none"/>
                <w:lang w:val="en-US" w:eastAsia="zh-CN" w:bidi="ar"/>
              </w:rPr>
              <w:t>17</w:t>
            </w:r>
          </w:p>
        </w:tc>
        <w:tc>
          <w:tcPr>
            <w:tcW w:w="1131" w:type="dxa"/>
            <w:vAlign w:val="center"/>
          </w:tcPr>
          <w:p w14:paraId="33EBE9C0">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HDMI线</w:t>
            </w:r>
          </w:p>
        </w:tc>
        <w:tc>
          <w:tcPr>
            <w:tcW w:w="3179" w:type="dxa"/>
            <w:vAlign w:val="center"/>
          </w:tcPr>
          <w:p w14:paraId="51B5F81D">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HDMI线2.0版4K数字高清线2米视频线</w:t>
            </w:r>
          </w:p>
        </w:tc>
        <w:tc>
          <w:tcPr>
            <w:tcW w:w="590" w:type="dxa"/>
            <w:vAlign w:val="center"/>
          </w:tcPr>
          <w:p w14:paraId="0F0E1402">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2E86C94A">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860" w:type="dxa"/>
            <w:vAlign w:val="center"/>
          </w:tcPr>
          <w:p w14:paraId="6E3FE8B0">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桌面运维、会议室、多媒体教室等使用</w:t>
            </w:r>
          </w:p>
        </w:tc>
        <w:tc>
          <w:tcPr>
            <w:tcW w:w="1609" w:type="dxa"/>
            <w:vAlign w:val="bottom"/>
          </w:tcPr>
          <w:p w14:paraId="73042605">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绿联、山泽、惠普</w:t>
            </w:r>
          </w:p>
        </w:tc>
      </w:tr>
      <w:tr w14:paraId="7955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0A6682C">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cs="宋体"/>
                <w:i w:val="0"/>
                <w:iCs w:val="0"/>
                <w:color w:val="000000"/>
                <w:kern w:val="0"/>
                <w:sz w:val="22"/>
                <w:szCs w:val="22"/>
                <w:u w:val="none"/>
                <w:lang w:val="en-US" w:eastAsia="zh-CN" w:bidi="ar"/>
              </w:rPr>
              <w:t>18</w:t>
            </w:r>
          </w:p>
        </w:tc>
        <w:tc>
          <w:tcPr>
            <w:tcW w:w="1131" w:type="dxa"/>
            <w:vAlign w:val="center"/>
          </w:tcPr>
          <w:p w14:paraId="28B7E343">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HDMI线</w:t>
            </w:r>
          </w:p>
        </w:tc>
        <w:tc>
          <w:tcPr>
            <w:tcW w:w="3179" w:type="dxa"/>
            <w:vAlign w:val="center"/>
          </w:tcPr>
          <w:p w14:paraId="60B8BDB1">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1A1A1A"/>
                <w:kern w:val="0"/>
                <w:sz w:val="22"/>
                <w:szCs w:val="22"/>
                <w:u w:val="none"/>
                <w:lang w:val="en-US" w:eastAsia="zh-CN" w:bidi="ar"/>
              </w:rPr>
              <w:t>HDMI线2.0版4K数字高清线5米视频线</w:t>
            </w:r>
          </w:p>
        </w:tc>
        <w:tc>
          <w:tcPr>
            <w:tcW w:w="590" w:type="dxa"/>
            <w:vAlign w:val="center"/>
          </w:tcPr>
          <w:p w14:paraId="730131D2">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662C212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860" w:type="dxa"/>
            <w:vAlign w:val="center"/>
          </w:tcPr>
          <w:p w14:paraId="3D07059C">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桌面运维、会议室、多媒体教室等使用</w:t>
            </w:r>
          </w:p>
        </w:tc>
        <w:tc>
          <w:tcPr>
            <w:tcW w:w="1609" w:type="dxa"/>
            <w:vAlign w:val="bottom"/>
          </w:tcPr>
          <w:p w14:paraId="669747E2">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绿联、山泽、惠普</w:t>
            </w:r>
          </w:p>
        </w:tc>
      </w:tr>
      <w:tr w14:paraId="1D19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478D211D">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cs="宋体"/>
                <w:i w:val="0"/>
                <w:iCs w:val="0"/>
                <w:color w:val="000000"/>
                <w:kern w:val="0"/>
                <w:sz w:val="22"/>
                <w:szCs w:val="22"/>
                <w:u w:val="none"/>
                <w:lang w:val="en-US" w:eastAsia="zh-CN" w:bidi="ar"/>
              </w:rPr>
              <w:t>19</w:t>
            </w:r>
          </w:p>
        </w:tc>
        <w:tc>
          <w:tcPr>
            <w:tcW w:w="1131" w:type="dxa"/>
            <w:vAlign w:val="center"/>
          </w:tcPr>
          <w:p w14:paraId="3CA5D39F">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HDMI线</w:t>
            </w:r>
          </w:p>
        </w:tc>
        <w:tc>
          <w:tcPr>
            <w:tcW w:w="3179" w:type="dxa"/>
            <w:vAlign w:val="center"/>
          </w:tcPr>
          <w:p w14:paraId="59CAE83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1A1A1A"/>
                <w:kern w:val="0"/>
                <w:sz w:val="22"/>
                <w:szCs w:val="22"/>
                <w:u w:val="none"/>
                <w:lang w:val="en-US" w:eastAsia="zh-CN" w:bidi="ar"/>
              </w:rPr>
              <w:t>HDMI线2.0版4K数字高清线10米视频线</w:t>
            </w:r>
          </w:p>
        </w:tc>
        <w:tc>
          <w:tcPr>
            <w:tcW w:w="590" w:type="dxa"/>
            <w:vAlign w:val="center"/>
          </w:tcPr>
          <w:p w14:paraId="6FB811C2">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5B2720D5">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860" w:type="dxa"/>
            <w:vAlign w:val="center"/>
          </w:tcPr>
          <w:p w14:paraId="2CB5B589">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桌面运维、会议室、多媒体教室等使用</w:t>
            </w:r>
          </w:p>
        </w:tc>
        <w:tc>
          <w:tcPr>
            <w:tcW w:w="1609" w:type="dxa"/>
            <w:vAlign w:val="bottom"/>
          </w:tcPr>
          <w:p w14:paraId="23EAC0DB">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绿联、山泽、惠普</w:t>
            </w:r>
          </w:p>
        </w:tc>
      </w:tr>
      <w:tr w14:paraId="1FEB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75C49F7">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cs="宋体"/>
                <w:i w:val="0"/>
                <w:iCs w:val="0"/>
                <w:color w:val="000000"/>
                <w:kern w:val="0"/>
                <w:sz w:val="22"/>
                <w:szCs w:val="22"/>
                <w:u w:val="none"/>
                <w:lang w:val="en-US" w:eastAsia="zh-CN" w:bidi="ar"/>
              </w:rPr>
              <w:t>20</w:t>
            </w:r>
          </w:p>
        </w:tc>
        <w:tc>
          <w:tcPr>
            <w:tcW w:w="1131" w:type="dxa"/>
            <w:vAlign w:val="center"/>
          </w:tcPr>
          <w:p w14:paraId="27112E67">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HDMI线</w:t>
            </w:r>
          </w:p>
        </w:tc>
        <w:tc>
          <w:tcPr>
            <w:tcW w:w="3179" w:type="dxa"/>
            <w:vAlign w:val="center"/>
          </w:tcPr>
          <w:p w14:paraId="7C330FBF">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1A1A1A"/>
                <w:kern w:val="0"/>
                <w:sz w:val="22"/>
                <w:szCs w:val="22"/>
                <w:u w:val="none"/>
                <w:lang w:val="en-US" w:eastAsia="zh-CN" w:bidi="ar"/>
              </w:rPr>
              <w:t>HDMI线2.0版4K数字高清线20米视频线</w:t>
            </w:r>
          </w:p>
        </w:tc>
        <w:tc>
          <w:tcPr>
            <w:tcW w:w="590" w:type="dxa"/>
            <w:vAlign w:val="center"/>
          </w:tcPr>
          <w:p w14:paraId="07AF53AE">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51349FD5">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860" w:type="dxa"/>
            <w:vAlign w:val="center"/>
          </w:tcPr>
          <w:p w14:paraId="37F2D2FA">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桌面运维、会议室、多媒体教室等使用</w:t>
            </w:r>
          </w:p>
        </w:tc>
        <w:tc>
          <w:tcPr>
            <w:tcW w:w="1609" w:type="dxa"/>
            <w:vAlign w:val="bottom"/>
          </w:tcPr>
          <w:p w14:paraId="21287C5A">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绿联、山泽、惠普</w:t>
            </w:r>
          </w:p>
        </w:tc>
      </w:tr>
      <w:tr w14:paraId="7B95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3BC3B631">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cs="宋体"/>
                <w:i w:val="0"/>
                <w:iCs w:val="0"/>
                <w:color w:val="000000"/>
                <w:kern w:val="0"/>
                <w:sz w:val="22"/>
                <w:szCs w:val="22"/>
                <w:u w:val="none"/>
                <w:lang w:val="en-US" w:eastAsia="zh-CN" w:bidi="ar"/>
              </w:rPr>
              <w:t>21</w:t>
            </w:r>
          </w:p>
        </w:tc>
        <w:tc>
          <w:tcPr>
            <w:tcW w:w="1131" w:type="dxa"/>
            <w:vAlign w:val="center"/>
          </w:tcPr>
          <w:p w14:paraId="73DD3ACE">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VGA线</w:t>
            </w:r>
          </w:p>
        </w:tc>
        <w:tc>
          <w:tcPr>
            <w:tcW w:w="3179" w:type="dxa"/>
            <w:vAlign w:val="center"/>
          </w:tcPr>
          <w:p w14:paraId="1A5E3C89">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VGA线公对公2米黑色</w:t>
            </w:r>
          </w:p>
        </w:tc>
        <w:tc>
          <w:tcPr>
            <w:tcW w:w="590" w:type="dxa"/>
            <w:vAlign w:val="center"/>
          </w:tcPr>
          <w:p w14:paraId="79B02C6E">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570" w:type="dxa"/>
            <w:vAlign w:val="center"/>
          </w:tcPr>
          <w:p w14:paraId="444D43DC">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860" w:type="dxa"/>
            <w:vAlign w:val="center"/>
          </w:tcPr>
          <w:p w14:paraId="6A239819">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桌面运维、会议室、多媒体教室等使用</w:t>
            </w:r>
          </w:p>
        </w:tc>
        <w:tc>
          <w:tcPr>
            <w:tcW w:w="1609" w:type="dxa"/>
            <w:vAlign w:val="bottom"/>
          </w:tcPr>
          <w:p w14:paraId="392CD5A2">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绿联、山泽、惠普</w:t>
            </w:r>
          </w:p>
        </w:tc>
      </w:tr>
      <w:tr w14:paraId="3396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172A844F">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cs="宋体"/>
                <w:i w:val="0"/>
                <w:iCs w:val="0"/>
                <w:color w:val="000000"/>
                <w:kern w:val="0"/>
                <w:sz w:val="22"/>
                <w:szCs w:val="22"/>
                <w:u w:val="none"/>
                <w:lang w:val="en-US" w:eastAsia="zh-CN" w:bidi="ar"/>
              </w:rPr>
              <w:t>22</w:t>
            </w:r>
          </w:p>
        </w:tc>
        <w:tc>
          <w:tcPr>
            <w:tcW w:w="1131" w:type="dxa"/>
            <w:vAlign w:val="center"/>
          </w:tcPr>
          <w:p w14:paraId="41CE9B50">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台式机主板</w:t>
            </w:r>
          </w:p>
        </w:tc>
        <w:tc>
          <w:tcPr>
            <w:tcW w:w="3179" w:type="dxa"/>
            <w:vAlign w:val="center"/>
          </w:tcPr>
          <w:p w14:paraId="55DE4C64">
            <w:pPr>
              <w:keepNext w:val="0"/>
              <w:keepLines w:val="0"/>
              <w:widowControl/>
              <w:suppressLineNumbers w:val="0"/>
              <w:jc w:val="left"/>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 支持第13代/第12代英特尔® 处理器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PCIe 4.0, 2个 M.2 插槽, 支持英特尔® 1G 网卡和 USB 3.2 Gen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VRM 散热片, PCH 散热片和 Fan Xpert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usb接口不低于6个，具有HDMI、vga接口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支持网卡启动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尺寸：24.4 cm x 21.6 cm</w:t>
            </w:r>
          </w:p>
        </w:tc>
        <w:tc>
          <w:tcPr>
            <w:tcW w:w="590" w:type="dxa"/>
            <w:vAlign w:val="center"/>
          </w:tcPr>
          <w:p w14:paraId="50960529">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570" w:type="dxa"/>
            <w:vAlign w:val="center"/>
          </w:tcPr>
          <w:p w14:paraId="09724259">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1860" w:type="dxa"/>
            <w:vAlign w:val="center"/>
          </w:tcPr>
          <w:p w14:paraId="7EB27963">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用于A2N203机房电脑升级维修</w:t>
            </w:r>
          </w:p>
        </w:tc>
        <w:tc>
          <w:tcPr>
            <w:tcW w:w="1609" w:type="dxa"/>
            <w:vAlign w:val="bottom"/>
          </w:tcPr>
          <w:p w14:paraId="2D1E4F27">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华硕、戴尔、联想</w:t>
            </w:r>
          </w:p>
          <w:p w14:paraId="0E2FCA32">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（本项产品需与第23项CPU兼容）</w:t>
            </w:r>
          </w:p>
        </w:tc>
      </w:tr>
      <w:tr w14:paraId="7940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7CFD9236">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cs="宋体"/>
                <w:i w:val="0"/>
                <w:iCs w:val="0"/>
                <w:color w:val="000000"/>
                <w:kern w:val="0"/>
                <w:sz w:val="22"/>
                <w:szCs w:val="22"/>
                <w:u w:val="none"/>
                <w:lang w:val="en-US" w:eastAsia="zh-CN" w:bidi="ar"/>
              </w:rPr>
              <w:t>23</w:t>
            </w:r>
          </w:p>
        </w:tc>
        <w:tc>
          <w:tcPr>
            <w:tcW w:w="1131" w:type="dxa"/>
            <w:vAlign w:val="center"/>
          </w:tcPr>
          <w:p w14:paraId="5229AE57">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CPU</w:t>
            </w:r>
          </w:p>
        </w:tc>
        <w:tc>
          <w:tcPr>
            <w:tcW w:w="3179" w:type="dxa"/>
            <w:vAlign w:val="center"/>
          </w:tcPr>
          <w:p w14:paraId="4910C8EE">
            <w:pPr>
              <w:keepNext w:val="0"/>
              <w:keepLines w:val="0"/>
              <w:widowControl/>
              <w:suppressLineNumbers w:val="0"/>
              <w:jc w:val="left"/>
              <w:textAlignment w:val="center"/>
              <w:rPr>
                <w:rFonts w:hint="default" w:asciiTheme="minorEastAsia" w:hAnsiTheme="minorEastAsia" w:eastAsiaTheme="minorEastAsia" w:cstheme="minorEastAsia"/>
                <w:color w:val="auto"/>
                <w:sz w:val="24"/>
                <w:szCs w:val="24"/>
                <w:vertAlign w:val="baseline"/>
                <w:lang w:val="en-US" w:eastAsia="zh-CN"/>
              </w:rPr>
            </w:pP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核心与线程</w:t>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：4 个性能核（Performance-core），无能效核，支持超线程技术，共 8 线程。</w:t>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频率</w:t>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：基础频率 3.30 GHz，睿频最高 4.30 GHz（单核）。</w:t>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缓存</w:t>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：12MB Intel Smart Cache。</w:t>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功耗</w:t>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：基础功耗 60W，最大睿频功耗 89W。</w:t>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内存支持</w:t>
            </w:r>
            <w:r>
              <w:rPr>
                <w:rStyle w:val="13"/>
                <w:rFonts w:eastAsia="宋体"/>
                <w:lang w:val="en-US" w:eastAsia="zh-CN" w:bidi="ar"/>
              </w:rPr>
              <w:t>‌</w:t>
            </w:r>
            <w:r>
              <w:rPr>
                <w:rFonts w:hint="eastAsia" w:ascii="宋体" w:hAnsi="宋体" w:eastAsia="宋体" w:cs="宋体"/>
                <w:i w:val="0"/>
                <w:iCs w:val="0"/>
                <w:color w:val="000000"/>
                <w:kern w:val="0"/>
                <w:sz w:val="22"/>
                <w:szCs w:val="22"/>
                <w:u w:val="none"/>
                <w:lang w:val="en-US" w:eastAsia="zh-CN" w:bidi="ar"/>
              </w:rPr>
              <w:t>：最大 128GB，带宽 76.8 GB/s，兼容 DDR4-3200 和 DDR5-4800</w:t>
            </w:r>
            <w:r>
              <w:rPr>
                <w:rFonts w:hint="eastAsia" w:ascii="宋体" w:hAnsi="宋体" w:eastAsia="宋体" w:cs="宋体"/>
                <w:i w:val="0"/>
                <w:iCs w:val="0"/>
                <w:color w:val="000000"/>
                <w:kern w:val="0"/>
                <w:sz w:val="22"/>
                <w:szCs w:val="22"/>
                <w:u w:val="none"/>
                <w:lang w:val="en-US" w:eastAsia="zh-CN" w:bidi="ar"/>
              </w:rPr>
              <w:br w:type="textWrapping"/>
            </w:r>
          </w:p>
        </w:tc>
        <w:tc>
          <w:tcPr>
            <w:tcW w:w="590" w:type="dxa"/>
            <w:vAlign w:val="center"/>
          </w:tcPr>
          <w:p w14:paraId="1896E359">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570" w:type="dxa"/>
            <w:vAlign w:val="center"/>
          </w:tcPr>
          <w:p w14:paraId="5C0595EE">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65</w:t>
            </w:r>
          </w:p>
        </w:tc>
        <w:tc>
          <w:tcPr>
            <w:tcW w:w="1860" w:type="dxa"/>
            <w:vAlign w:val="center"/>
          </w:tcPr>
          <w:p w14:paraId="2693C214">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用于A2N203机房电脑升级维修</w:t>
            </w:r>
          </w:p>
        </w:tc>
        <w:tc>
          <w:tcPr>
            <w:tcW w:w="1609" w:type="dxa"/>
            <w:vAlign w:val="bottom"/>
          </w:tcPr>
          <w:p w14:paraId="2DF02CA6">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英特尔、微星、AMD</w:t>
            </w:r>
          </w:p>
          <w:p w14:paraId="6335B17A">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（本项产品需与第22项主板兼容）</w:t>
            </w:r>
          </w:p>
        </w:tc>
      </w:tr>
    </w:tbl>
    <w:p w14:paraId="35479502">
      <w:pPr>
        <w:numPr>
          <w:ilvl w:val="0"/>
          <w:numId w:val="0"/>
        </w:numPr>
        <w:spacing w:line="360" w:lineRule="auto"/>
        <w:outlineLvl w:val="0"/>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2、机房集中管控云平台技术参数</w:t>
      </w:r>
      <w:r>
        <w:rPr>
          <w:rFonts w:ascii="Times New Roman" w:hAnsi="Times New Roman" w:cs="Times New Roman"/>
          <w:color w:val="auto"/>
          <w:sz w:val="24"/>
          <w:szCs w:val="24"/>
        </w:rPr>
        <w:t>：</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827"/>
        <w:gridCol w:w="1138"/>
        <w:gridCol w:w="5921"/>
      </w:tblGrid>
      <w:tr w14:paraId="3AD2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vAlign w:val="top"/>
          </w:tcPr>
          <w:p w14:paraId="39829A0A">
            <w:pPr>
              <w:keepNext w:val="0"/>
              <w:keepLines w:val="0"/>
              <w:widowControl/>
              <w:suppressLineNumbers w:val="0"/>
              <w:jc w:val="center"/>
              <w:textAlignment w:val="top"/>
              <w:rPr>
                <w:rFonts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top"/>
          </w:tcPr>
          <w:p w14:paraId="4D5D48F1">
            <w:pPr>
              <w:keepNext w:val="0"/>
              <w:keepLines w:val="0"/>
              <w:widowControl/>
              <w:suppressLineNumbers w:val="0"/>
              <w:jc w:val="center"/>
              <w:textAlignment w:val="top"/>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名称</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top"/>
          </w:tcPr>
          <w:p w14:paraId="4AFFC9DC">
            <w:pPr>
              <w:keepNext w:val="0"/>
              <w:keepLines w:val="0"/>
              <w:widowControl/>
              <w:suppressLineNumbers w:val="0"/>
              <w:jc w:val="center"/>
              <w:textAlignment w:val="top"/>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租赁期限</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top"/>
          </w:tcPr>
          <w:p w14:paraId="1370648A">
            <w:pPr>
              <w:keepNext w:val="0"/>
              <w:keepLines w:val="0"/>
              <w:widowControl/>
              <w:suppressLineNumbers w:val="0"/>
              <w:jc w:val="center"/>
              <w:textAlignment w:val="top"/>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参数功能说明</w:t>
            </w:r>
          </w:p>
        </w:tc>
      </w:tr>
      <w:tr w14:paraId="388D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C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E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机房集中管控云平台</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4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top"/>
          </w:tcPr>
          <w:p w14:paraId="3D6FDD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一、管控平台功能：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1、基于WEB可视化界面管理，单台管理服务器可支持对VDI、VOI两种架构以及虚实双系统的统一管理，支持麒麟、统信等国产操作系统；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对VDI和VOI云桌面、终端、电子教学软件、用户、基础镜像等进行统一管理，在一个Web平台上即可完成VDI和VOI云桌面基础镜像上传、模板创建、发布、用户创建、云终端管理、电子教学软件配置更新等操作；(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3、支持通过集群功能实现负载均衡，当主控服务器出现宕机或网络故障时，备控自动切换为主控，实现会话切换不中断，无需增加第三方控制器；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*4、支持VDI、VOI融合架构下的教学和个人桌面两种管理模式，教学桌面和个人桌面管理功能和界面上需独立拆分；(提供软件功能截图证明）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5、支持VDI教学模板创建、编辑、删除、复制、下载、开关机等，模板可转让和共享给不同的管理员；可对模板的磁盘文件进行签名和文件校验，不完整的磁盘文件可实现重传；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VOI教学模板创建、编辑、删除、复制、下载、开关机、种子生成等，模板可转让、共享和链接分享给不同的管理员；可对模板的磁盘文件进行查看，可对系统镜像和数据镜像重新生成种子；(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*7、支持配置VDI、VOI教学模板内安装的软件清单，在终端系统选择界面可显示每个桌面对应的软件清单描述信息；(提供软件功能截图证明）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8、支持自定义云桌面显示传输协议模式，可根据服务器和终端配置选择矢量模式或流模式；(提供软件功能截图证明）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创建、删除、编辑VOI场景分组，可对组中的VOI桌面的系统盘和数据盘分别进行还原属性的编辑，可预设系统盘预留空间和数据盘预留空间；模板更新可选择增量、覆盖等不同的更新模式；可配置VOI终端的网络模式，支持开启或禁用将客户端IP作为桌面IP；(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设置虚实双系统，可指定开机默认进入VDI虚系统或VOI实系统；默认进入VDI虚系统时，可选择VDI断网后自动、手动、不切换到VOI实系统，选择自动切换时，可选择设置VDI允许的网络时延；(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11、VDI教学桌面支持排课功能，可设置学期、支持按分组、教学场景进行教学排课，根据课表时间自动启动；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*12、VDI终端可通过管理平台设置电子教学软件的顶层服务IP、教室编号、教学分组、组播IP、组播端口、组播模式等，组播模式包括但不限于流模式和矢量模式；(提供软件功能截图证明）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*13、支持对VOI终端批量进行维护，包括进入维护模式、清空所有桌面、下发桌面、取消下发、删除特定桌面、指定TCP模式下发桌面等；(提供软件功能截图证明）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14、支持对VOI终端添加数据盘，可设置数据盘大小和清空模式，数据盘可选择多个桌面组进行共享；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15、教师端屏幕广播时采用终端本地网络，无需占用云桌面网络带宽，云桌面断开连接时，不影响屏幕广播的正常使用；(提供软件功能截图证明）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16、支持对VOI终端进行批量桌面切换、进入或退出编辑模式，编辑模式下可实现还原桌面不还原，同时可根据需求批量清除编辑模式下产生的数据；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*17、VOI终端可通过管理平台批量设置教室号、教师机IP、顶层服务IP、频道号、角色标识，角色可选择学生终端或教师终端；(提供软件功能截图证明）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18、支持对多个VOI分组或教室进行批量操作，操作内容包括但不限于维护、下发、取消、清空、启用监控、关闭监控；(提供软件功能截图证明）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*19、支持对所选终端或分组内所有终端导出MAC地址信息，方便终端硬件地址的收集和汇总；(提供软件功能截图证明）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20、支持对平台的数据进行备份，自动备份时可设置备份文件数量、路径、周期和执行时间，备份周期最长可选择按月备份，执行时间可精确分钟；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21、支持分权管理，可对不同的管理员提供不同的管理权限，权限可精确到每个模块的相关功能；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22、可设置云桌面、服务器、终端进行定时关机任务，可批量设置关机的执行周期和执行时间，执行时间每分钟；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*23、支持对平台进行整体升级和模块升级，执行模块升级时可选择管理平台、顶层服务、BT服务、协议库等模块进行独立升级；(提供软件功能截图证明）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*24、支持管理平台开启或关闭维护模式，实现管理员在计划内进行有效升级维护；(提供软件功能截图证明）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25、云桌面多系统时，教师端可一键控制学生进入指定的云桌面，提供选择进入指定桌面的功能界面截图；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*26、管控系统需支持65台终端集中统一管控，系统软件不少于三年免费升级服务，提供厂商售后服务函并加盖公章；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*27、为简化管理，投标产品必须与采购人现有的机房教学统一管理系统软件平台无缝对接，实现所有教学管理相关数据在现有的平台统一部署及升级，提供厂商承诺函并加盖公章。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二、终端客户端功能：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1、支持在登录界面即可查看云桌面中所安装的软件信息，无需进入云桌面系统；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*2、可通过终端程序可对电子教学软件参数进行配置，可设置教师机标识为教师终端、学生终端；教室号、教师机IP、顶层服务IP、频道号；；(提供软件功能截图证明）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3、支持离线启动，当环境中网络故障或服务器故障时，终端能正常进入桌面系统和使用；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4、终端可手动进入或退出维护模式，针对还原桌面进入维护模式后可保存桌面在使用过程中的数据不还原；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5、可在终端客户端中进入命令行、同步默认桌面、取消同步、重装终端等操作；(提供软件功能截图证明）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*6、支持终端清除数据功能，将不还原桌面、还原桌面进入维护模式下保存的系统设置和数据进行一键还原；(提供软件功能截图证明）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7、在终端设置界面，可以手动删除单个桌面或所有桌面，无需通过管理平台下发指令；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*8、终端支持检测/修复磁盘工具，当终端因为其他异常情况出现磁盘故障时，可通过该工具实现一键检测和修复；(提供软件功能截图证明）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9、支持样机上传功能，在终端安装好系统之后，通过Windows客户端可以将当前终端系统上传为服务器模板，进行批量部署；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教师\学生机角色自动识别，即系统基于终端的教师\学生机角色自动识别教师\学生角色，无需提前在系统模板中设置，方便当教学过程中教师机故障后，无需修改模板等其他操作，选择任意一台学生机一键切换为教师机即可继续教学。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11、支持静默更新功能，终端处于开机使用过程中，监控到后台模板有更新，可在不影响现有使用情况下进行自动更新；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*12、本地系统和桌面系统电教软件为同一个安装程序，只需通过程序运行环境和身份识别即可区分当前运行位置与角色，提供软件功能截图证明；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13、支持服务器关机状态下的终端辅助批量部署，包括系统程序的批量部署、服务器参数批量设置和序号的批量设置；(提供软件功能截图证明）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终端桌面更新过程中的断点续传，有效处理各种异常关机、断电、断网等引起的中断，减少用户不必要的重复性操作与等待时间。当客户端开机或网络连接恢复正常时，服务端自动发现客户端并继续更新，无须手工干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15、支持终端虚拟磁盘部署多个相同或不相同的系统及软件环境，各系统完全相互独立，且同时显示于引导选单上，实现一机多用。可指定引导选单上的任意系统作为默认引导系统；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*16、支持管理平台对单台终端或所有终端发送消息，终端的消息提示框可设置指定时间消失或需要手动关闭；(提供软件功能截图证明）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17、支持Windows系统在线屏幕水印功能，桌面右上角置顶显示当前桌面信息水印（不会被其他窗口覆盖）内容包括当前桌面计算机名，终端序号，桌面IP等信息，便于管理员维护时快速查找对应的终端；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*18、当终端和服务器端网络异常时，教师还可以通过终端教学软件进行作业收发功能。文件发送可设置发送到桌面或终端，提供软件功能截图证明；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三、租赁要求：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1、现场提供软件的安装、调试、培训以及后续更新维护服务；</w:t>
            </w:r>
          </w:p>
        </w:tc>
      </w:tr>
    </w:tbl>
    <w:p w14:paraId="450DD2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377A0"/>
    <w:rsid w:val="3B137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pacing w:after="120"/>
    </w:pPr>
    <w:rPr>
      <w:sz w:val="28"/>
    </w:rPr>
  </w:style>
  <w:style w:type="paragraph" w:styleId="4">
    <w:name w:val="Body Text 2"/>
    <w:basedOn w:val="1"/>
    <w:qFormat/>
    <w:uiPriority w:val="99"/>
    <w:pPr>
      <w:spacing w:line="340" w:lineRule="exact"/>
    </w:pPr>
    <w:rPr>
      <w:rFonts w:ascii="仿宋_GB2312" w:eastAsia="仿宋_GB2312"/>
      <w:sz w:val="28"/>
    </w:rPr>
  </w:style>
  <w:style w:type="paragraph" w:styleId="5">
    <w:name w:val="Body Text First Indent 2"/>
    <w:basedOn w:val="6"/>
    <w:next w:val="8"/>
    <w:unhideWhenUsed/>
    <w:qFormat/>
    <w:uiPriority w:val="99"/>
    <w:pPr>
      <w:ind w:firstLine="420" w:firstLineChars="20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99"/>
    <w:pPr>
      <w:snapToGrid w:val="0"/>
    </w:pPr>
    <w:rPr>
      <w:rFonts w:ascii="Arial" w:hAnsi="Arial" w:cs="Arial"/>
    </w:rPr>
  </w:style>
  <w:style w:type="paragraph" w:styleId="8">
    <w:name w:val="Normal Indent"/>
    <w:basedOn w:val="1"/>
    <w:qFormat/>
    <w:uiPriority w:val="0"/>
    <w:pPr>
      <w:ind w:firstLine="420"/>
    </w:pPr>
    <w:rPr>
      <w:rFonts w:ascii="幼圆" w:eastAsia="幼圆"/>
      <w:sz w:val="24"/>
      <w:szCs w:val="20"/>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font51"/>
    <w:basedOn w:val="11"/>
    <w:qFormat/>
    <w:uiPriority w:val="0"/>
    <w:rPr>
      <w:rFonts w:hint="eastAsia" w:ascii="宋体" w:hAnsi="宋体" w:eastAsia="宋体" w:cs="宋体"/>
      <w:color w:val="666666"/>
      <w:sz w:val="22"/>
      <w:szCs w:val="22"/>
      <w:u w:val="none"/>
    </w:rPr>
  </w:style>
  <w:style w:type="character" w:customStyle="1" w:styleId="13">
    <w:name w:val="font4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2025-11-04T06:23:00Z</dcterms:created>
  <dc:creator>神光毓逍遥</dc:creator>
  <cp:lastModifiedBy>神光毓逍遥</cp:lastModifiedBy>
  <dcterms:modified xsi:type="dcterms:W3CDTF">2025-11-04T06:25:37Z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349173410C22482D9997C8CF8BADEFF3_11</vt:lpwstr>
  </property>
  <property fmtid="{D5CDD505-2E9C-101B-9397-08002B2CF9AE}" pid="4" name="KSOTemplateDocerSaveRecord">
    <vt:lpwstr>eyJoZGlkIjoiYTQwMGUzY2RmNDBkMTgzMzJjMGRiZjYzODgwZDhlNDAiLCJ1c2VySWQiOiI1OTgzMzg3MTMifQ==</vt:lpwstr>
  </property>
</Properties>
</file>