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9F77A">
      <w:pPr>
        <w:adjustRightInd w:val="0"/>
        <w:snapToGrid w:val="0"/>
        <w:spacing w:line="580" w:lineRule="exact"/>
        <w:rPr>
          <w:rFonts w:hint="eastAsia" w:ascii="宋体" w:hAnsi="宋体" w:cs="宋体"/>
          <w:b/>
          <w:bCs/>
          <w:color w:val="auto"/>
          <w:sz w:val="24"/>
          <w:lang w:bidi="zh-TW"/>
        </w:rPr>
      </w:pPr>
      <w:bookmarkStart w:id="0" w:name="_GoBack"/>
      <w:r>
        <w:rPr>
          <w:rFonts w:hint="eastAsia" w:ascii="宋体" w:hAnsi="宋体" w:cs="宋体"/>
          <w:b/>
          <w:bCs/>
          <w:color w:val="auto"/>
          <w:sz w:val="24"/>
          <w:lang w:val="en-US" w:eastAsia="zh-CN" w:bidi="zh-TW"/>
        </w:rPr>
        <w:t>附件：</w:t>
      </w:r>
      <w:r>
        <w:rPr>
          <w:rFonts w:hint="eastAsia" w:ascii="宋体" w:hAnsi="宋体" w:cs="宋体"/>
          <w:b/>
          <w:bCs/>
          <w:color w:val="auto"/>
          <w:sz w:val="24"/>
          <w:lang w:bidi="zh-TW"/>
        </w:rPr>
        <w:t>采购技术要求</w:t>
      </w:r>
    </w:p>
    <w:bookmarkEnd w:id="0"/>
    <w:tbl>
      <w:tblPr>
        <w:tblStyle w:val="11"/>
        <w:tblW w:w="8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02"/>
        <w:gridCol w:w="6786"/>
      </w:tblGrid>
      <w:tr w14:paraId="1397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69" w:type="dxa"/>
            <w:vAlign w:val="center"/>
          </w:tcPr>
          <w:p w14:paraId="4EE78F05">
            <w:pPr>
              <w:spacing w:line="240" w:lineRule="auto"/>
              <w:jc w:val="center"/>
              <w:rPr>
                <w:rFonts w:hint="eastAsia" w:cs="Times New Roman" w:asciiTheme="minorEastAsia" w:hAnsiTheme="minorEastAsia"/>
                <w:sz w:val="18"/>
                <w:szCs w:val="18"/>
              </w:rPr>
            </w:pPr>
            <w:r>
              <w:rPr>
                <w:rFonts w:hint="eastAsia" w:cs="Times New Roman" w:asciiTheme="minorEastAsia" w:hAnsiTheme="minorEastAsia"/>
                <w:sz w:val="18"/>
                <w:szCs w:val="18"/>
              </w:rPr>
              <w:t>序号</w:t>
            </w:r>
          </w:p>
        </w:tc>
        <w:tc>
          <w:tcPr>
            <w:tcW w:w="802" w:type="dxa"/>
            <w:vAlign w:val="center"/>
          </w:tcPr>
          <w:p w14:paraId="1B01A219">
            <w:pPr>
              <w:widowControl/>
              <w:spacing w:line="240" w:lineRule="auto"/>
              <w:jc w:val="center"/>
              <w:rPr>
                <w:rFonts w:hint="eastAsia" w:cs="Times New Roman" w:asciiTheme="minorEastAsia" w:hAnsiTheme="minorEastAsia"/>
                <w:sz w:val="18"/>
                <w:szCs w:val="18"/>
              </w:rPr>
            </w:pPr>
            <w:r>
              <w:rPr>
                <w:rFonts w:hint="eastAsia" w:cs="Times New Roman" w:asciiTheme="minorEastAsia" w:hAnsiTheme="minorEastAsia"/>
                <w:sz w:val="18"/>
                <w:szCs w:val="18"/>
              </w:rPr>
              <w:t>货物</w:t>
            </w:r>
          </w:p>
          <w:p w14:paraId="3E7C7478">
            <w:pPr>
              <w:widowControl/>
              <w:spacing w:line="240" w:lineRule="auto"/>
              <w:jc w:val="center"/>
              <w:rPr>
                <w:rFonts w:hint="eastAsia" w:cs="Times New Roman" w:asciiTheme="minorEastAsia" w:hAnsiTheme="minorEastAsia"/>
                <w:sz w:val="18"/>
                <w:szCs w:val="18"/>
              </w:rPr>
            </w:pPr>
            <w:r>
              <w:rPr>
                <w:rFonts w:hint="eastAsia" w:cs="Times New Roman" w:asciiTheme="minorEastAsia" w:hAnsiTheme="minorEastAsia"/>
                <w:sz w:val="18"/>
                <w:szCs w:val="18"/>
              </w:rPr>
              <w:t>名称</w:t>
            </w:r>
          </w:p>
        </w:tc>
        <w:tc>
          <w:tcPr>
            <w:tcW w:w="6786" w:type="dxa"/>
            <w:vAlign w:val="center"/>
          </w:tcPr>
          <w:p w14:paraId="16E5279F">
            <w:pPr>
              <w:widowControl/>
              <w:spacing w:line="240" w:lineRule="auto"/>
              <w:jc w:val="center"/>
              <w:rPr>
                <w:rFonts w:hint="eastAsia" w:cs="Times New Roman" w:asciiTheme="minorEastAsia" w:hAnsiTheme="minorEastAsia"/>
                <w:sz w:val="18"/>
                <w:szCs w:val="18"/>
              </w:rPr>
            </w:pPr>
            <w:r>
              <w:rPr>
                <w:rFonts w:hint="eastAsia" w:cs="Times New Roman" w:asciiTheme="minorEastAsia" w:hAnsiTheme="minorEastAsia"/>
                <w:sz w:val="18"/>
                <w:szCs w:val="18"/>
              </w:rPr>
              <w:t>主要规格</w:t>
            </w:r>
          </w:p>
        </w:tc>
      </w:tr>
      <w:tr w14:paraId="28E6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8" w:hRule="atLeast"/>
          <w:jc w:val="center"/>
        </w:trPr>
        <w:tc>
          <w:tcPr>
            <w:tcW w:w="669" w:type="dxa"/>
            <w:vAlign w:val="center"/>
          </w:tcPr>
          <w:p w14:paraId="58A5EAD1">
            <w:pPr>
              <w:spacing w:line="360" w:lineRule="auto"/>
              <w:jc w:val="center"/>
              <w:rPr>
                <w:rFonts w:hint="eastAsia" w:cs="Times New Roman" w:asciiTheme="minorEastAsia" w:hAnsiTheme="minorEastAsia"/>
                <w:sz w:val="18"/>
                <w:szCs w:val="18"/>
              </w:rPr>
            </w:pPr>
            <w:r>
              <w:rPr>
                <w:rFonts w:hint="eastAsia" w:cs="Times New Roman" w:asciiTheme="minorEastAsia" w:hAnsiTheme="minorEastAsia"/>
                <w:sz w:val="18"/>
                <w:szCs w:val="18"/>
              </w:rPr>
              <w:t>1</w:t>
            </w:r>
          </w:p>
        </w:tc>
        <w:tc>
          <w:tcPr>
            <w:tcW w:w="802" w:type="dxa"/>
            <w:vAlign w:val="center"/>
          </w:tcPr>
          <w:p w14:paraId="315A98D4">
            <w:pPr>
              <w:widowControl/>
              <w:spacing w:line="360" w:lineRule="auto"/>
              <w:jc w:val="center"/>
              <w:rPr>
                <w:rFonts w:hint="eastAsia" w:cs="Times New Roman" w:asciiTheme="minorEastAsia" w:hAnsiTheme="minorEastAsia"/>
                <w:sz w:val="18"/>
                <w:szCs w:val="18"/>
              </w:rPr>
            </w:pPr>
            <w:r>
              <w:rPr>
                <w:rFonts w:hint="eastAsia" w:cs="Times New Roman" w:asciiTheme="minorEastAsia" w:hAnsiTheme="minorEastAsia"/>
                <w:sz w:val="18"/>
                <w:szCs w:val="18"/>
              </w:rPr>
              <w:t>工业</w:t>
            </w:r>
          </w:p>
          <w:p w14:paraId="1C5C2999">
            <w:pPr>
              <w:widowControl/>
              <w:spacing w:line="360" w:lineRule="auto"/>
              <w:jc w:val="center"/>
              <w:rPr>
                <w:rFonts w:hint="eastAsia" w:cs="Times New Roman" w:asciiTheme="minorEastAsia" w:hAnsiTheme="minorEastAsia"/>
                <w:sz w:val="18"/>
                <w:szCs w:val="18"/>
              </w:rPr>
            </w:pPr>
            <w:r>
              <w:rPr>
                <w:rFonts w:hint="eastAsia" w:cs="Times New Roman" w:asciiTheme="minorEastAsia" w:hAnsiTheme="minorEastAsia"/>
                <w:sz w:val="18"/>
                <w:szCs w:val="18"/>
              </w:rPr>
              <w:t>互联网</w:t>
            </w:r>
          </w:p>
          <w:p w14:paraId="16F55E3D">
            <w:pPr>
              <w:widowControl/>
              <w:spacing w:line="360" w:lineRule="auto"/>
              <w:jc w:val="center"/>
              <w:rPr>
                <w:rFonts w:hint="eastAsia" w:cs="Times New Roman" w:asciiTheme="minorEastAsia" w:hAnsiTheme="minorEastAsia"/>
                <w:sz w:val="18"/>
                <w:szCs w:val="18"/>
              </w:rPr>
            </w:pPr>
            <w:r>
              <w:rPr>
                <w:rFonts w:hint="eastAsia" w:cs="Times New Roman" w:asciiTheme="minorEastAsia" w:hAnsiTheme="minorEastAsia"/>
                <w:sz w:val="18"/>
                <w:szCs w:val="18"/>
              </w:rPr>
              <w:t>实验箱</w:t>
            </w:r>
          </w:p>
        </w:tc>
        <w:tc>
          <w:tcPr>
            <w:tcW w:w="6786" w:type="dxa"/>
          </w:tcPr>
          <w:p w14:paraId="0DC798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snapToGrid w:val="0"/>
                <w:kern w:val="0"/>
                <w:sz w:val="18"/>
                <w:szCs w:val="18"/>
                <w:lang w:val="zh-CN"/>
              </w:rPr>
            </w:pPr>
            <w:r>
              <w:rPr>
                <w:rFonts w:hint="eastAsia" w:ascii="宋体" w:hAnsi="宋体" w:cs="宋体"/>
                <w:snapToGrid w:val="0"/>
                <w:kern w:val="0"/>
                <w:sz w:val="18"/>
                <w:szCs w:val="18"/>
                <w:lang w:val="zh-CN"/>
              </w:rPr>
              <w:t>平台组成：该套装包含了应用端开发、主控单元、人机交互、传感模块四部分内容，分别满足对于工业控制及数据采集各个方向应用及集成开发需求，通过一体机开发终端、物联网ESP32控制器、液晶组态触摸屏以及人机交互控制按钮与传感器等，能够实现Python编程即可实现1对1的物联网通讯开发，如TCP通讯、蓝牙控制、MQTT开发等；</w:t>
            </w:r>
          </w:p>
          <w:p w14:paraId="269D93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snapToGrid w:val="0"/>
                <w:kern w:val="0"/>
                <w:sz w:val="18"/>
                <w:szCs w:val="18"/>
                <w:lang w:val="zh-CN"/>
              </w:rPr>
            </w:pPr>
            <w:r>
              <w:rPr>
                <w:rFonts w:hint="eastAsia" w:ascii="宋体" w:hAnsi="宋体" w:cs="宋体"/>
                <w:snapToGrid w:val="0"/>
                <w:kern w:val="0"/>
                <w:sz w:val="18"/>
                <w:szCs w:val="18"/>
                <w:lang w:val="zh-CN"/>
              </w:rPr>
              <w:t>1、 嵌入式网关模块</w:t>
            </w:r>
          </w:p>
          <w:p w14:paraId="4D46B4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snapToGrid w:val="0"/>
                <w:kern w:val="0"/>
                <w:sz w:val="18"/>
                <w:szCs w:val="18"/>
                <w:lang w:val="zh-CN"/>
              </w:rPr>
            </w:pPr>
            <w:r>
              <w:rPr>
                <w:rFonts w:hint="eastAsia" w:ascii="宋体" w:hAnsi="宋体" w:cs="宋体"/>
                <w:snapToGrid w:val="0"/>
                <w:kern w:val="0"/>
                <w:sz w:val="18"/>
                <w:szCs w:val="18"/>
                <w:lang w:val="zh-CN"/>
              </w:rPr>
              <w:t>1）主控模块：采用双核32位的MCU，板载2.4G的WIFI以及蓝牙芯片，主频230mHz，支持I2C.I2S.SPI.UART.CAN等多种通信协议。多种调整管理模式：Active模式、Modem-slep模式、Light-slep模式、Deep-slep模式、Hibernation模式；</w:t>
            </w:r>
          </w:p>
          <w:p w14:paraId="32527B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snapToGrid w:val="0"/>
                <w:kern w:val="0"/>
                <w:sz w:val="18"/>
                <w:szCs w:val="18"/>
                <w:lang w:val="zh-CN"/>
              </w:rPr>
            </w:pPr>
            <w:r>
              <w:rPr>
                <w:rFonts w:hint="eastAsia" w:ascii="宋体" w:hAnsi="宋体" w:cs="宋体"/>
                <w:snapToGrid w:val="0"/>
                <w:kern w:val="0"/>
                <w:sz w:val="18"/>
                <w:szCs w:val="18"/>
                <w:lang w:val="zh-CN"/>
              </w:rPr>
              <w:t>2）通信模块：板载RS232接口、RS485接口、USART串口、以及USB通信功能，配置≥8路IO输入输出功能；</w:t>
            </w:r>
          </w:p>
          <w:p w14:paraId="78D121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snapToGrid w:val="0"/>
                <w:kern w:val="0"/>
                <w:sz w:val="18"/>
                <w:szCs w:val="18"/>
                <w:lang w:val="zh-CN"/>
              </w:rPr>
            </w:pPr>
            <w:r>
              <w:rPr>
                <w:rFonts w:hint="eastAsia" w:ascii="宋体" w:hAnsi="宋体" w:cs="宋体"/>
                <w:snapToGrid w:val="0"/>
                <w:kern w:val="0"/>
                <w:sz w:val="18"/>
                <w:szCs w:val="18"/>
                <w:lang w:val="zh-CN"/>
              </w:rPr>
              <w:t>3）交互模块：配置≥4组LED指示灯、≥4组按钮模块、≥1个液晶显示的人机交互功能。</w:t>
            </w:r>
          </w:p>
          <w:p w14:paraId="71DD3E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snapToGrid w:val="0"/>
                <w:kern w:val="0"/>
                <w:sz w:val="18"/>
                <w:szCs w:val="18"/>
                <w:lang w:val="zh-CN"/>
              </w:rPr>
            </w:pPr>
            <w:r>
              <w:rPr>
                <w:rFonts w:hint="eastAsia" w:ascii="宋体" w:hAnsi="宋体" w:cs="宋体"/>
                <w:snapToGrid w:val="0"/>
                <w:kern w:val="0"/>
                <w:sz w:val="18"/>
                <w:szCs w:val="18"/>
                <w:lang w:val="zh-CN"/>
              </w:rPr>
              <w:t>4）能够通过USB连接至三维仿真软件实现虚实互动三维仿真控制；</w:t>
            </w:r>
          </w:p>
          <w:p w14:paraId="0F40A5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snapToGrid w:val="0"/>
                <w:kern w:val="0"/>
                <w:sz w:val="18"/>
                <w:szCs w:val="18"/>
                <w:lang w:val="zh-CN"/>
              </w:rPr>
            </w:pPr>
            <w:r>
              <w:rPr>
                <w:rFonts w:hint="eastAsia" w:ascii="宋体" w:hAnsi="宋体" w:cs="宋体"/>
                <w:snapToGrid w:val="0"/>
                <w:kern w:val="0"/>
                <w:sz w:val="18"/>
                <w:szCs w:val="18"/>
                <w:lang w:val="zh-CN"/>
              </w:rPr>
              <w:t>5）所提供的嵌入式开发硬件支持图形化编程、Python编程以及C语言编程，并提供三种编程平台的开发环境；</w:t>
            </w:r>
          </w:p>
          <w:p w14:paraId="3067FB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snapToGrid w:val="0"/>
                <w:kern w:val="0"/>
                <w:sz w:val="18"/>
                <w:szCs w:val="18"/>
                <w:lang w:val="zh-CN"/>
              </w:rPr>
            </w:pPr>
            <w:r>
              <w:rPr>
                <w:rFonts w:hint="eastAsia" w:ascii="宋体" w:hAnsi="宋体" w:cs="宋体"/>
                <w:snapToGrid w:val="0"/>
                <w:kern w:val="0"/>
                <w:sz w:val="18"/>
                <w:szCs w:val="18"/>
                <w:lang w:val="zh-CN"/>
              </w:rPr>
              <w:t>2、边缘计算网关套件</w:t>
            </w:r>
          </w:p>
          <w:p w14:paraId="392E27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snapToGrid w:val="0"/>
                <w:kern w:val="0"/>
                <w:sz w:val="18"/>
                <w:szCs w:val="18"/>
                <w:lang w:val="zh-CN"/>
              </w:rPr>
            </w:pPr>
            <w:r>
              <w:rPr>
                <w:rFonts w:hint="eastAsia" w:ascii="宋体" w:hAnsi="宋体" w:cs="宋体"/>
                <w:snapToGrid w:val="0"/>
                <w:kern w:val="0"/>
                <w:sz w:val="18"/>
                <w:szCs w:val="18"/>
                <w:lang w:val="zh-CN"/>
              </w:rPr>
              <w:t>1）边缘计算模块：主控≥4核四核Cortex-A55，1.8GHz，内存≥4GB，支持NPU图形加速，支持1080P@60fps/4K@60fps，储存：内存卡卡槽，可拓展至1T存储，内置32G高速读卡器；</w:t>
            </w:r>
          </w:p>
          <w:p w14:paraId="6DD9E2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snapToGrid w:val="0"/>
                <w:kern w:val="0"/>
                <w:sz w:val="18"/>
                <w:szCs w:val="18"/>
                <w:lang w:val="zh-CN"/>
              </w:rPr>
            </w:pPr>
            <w:r>
              <w:rPr>
                <w:rFonts w:hint="eastAsia" w:ascii="宋体" w:hAnsi="宋体" w:cs="宋体"/>
                <w:snapToGrid w:val="0"/>
                <w:kern w:val="0"/>
                <w:sz w:val="18"/>
                <w:szCs w:val="18"/>
                <w:lang w:val="zh-CN"/>
              </w:rPr>
              <w:t>2）接口：配置10/100/1000M自适应以太网口*1，USB2.0接口*3，USB3.0接口*1，音频输入输出接口，红外接收接口；</w:t>
            </w:r>
          </w:p>
          <w:p w14:paraId="2788C0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snapToGrid w:val="0"/>
                <w:kern w:val="0"/>
                <w:sz w:val="18"/>
                <w:szCs w:val="18"/>
                <w:lang w:val="zh-CN"/>
              </w:rPr>
            </w:pPr>
            <w:r>
              <w:rPr>
                <w:rFonts w:hint="eastAsia" w:ascii="宋体" w:hAnsi="宋体" w:cs="宋体"/>
                <w:snapToGrid w:val="0"/>
                <w:kern w:val="0"/>
                <w:sz w:val="18"/>
                <w:szCs w:val="18"/>
                <w:lang w:val="zh-CN"/>
              </w:rPr>
              <w:t xml:space="preserve">3）扩展接口：配置RS232接口、RS485接口，并配置调试模块； </w:t>
            </w:r>
          </w:p>
          <w:p w14:paraId="171AD3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snapToGrid w:val="0"/>
                <w:kern w:val="0"/>
                <w:sz w:val="18"/>
                <w:szCs w:val="18"/>
                <w:lang w:val="zh-CN"/>
              </w:rPr>
            </w:pPr>
            <w:r>
              <w:rPr>
                <w:rFonts w:hint="eastAsia" w:ascii="宋体" w:hAnsi="宋体" w:cs="宋体"/>
                <w:snapToGrid w:val="0"/>
                <w:kern w:val="0"/>
                <w:sz w:val="18"/>
                <w:szCs w:val="18"/>
                <w:lang w:val="zh-CN"/>
              </w:rPr>
              <w:t>4）人机交互模块：触控液晶交互，尺寸5寸，分辨率800*480，配置HDMI及USB接口；</w:t>
            </w:r>
          </w:p>
          <w:p w14:paraId="464A03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snapToGrid w:val="0"/>
                <w:kern w:val="0"/>
                <w:sz w:val="18"/>
                <w:szCs w:val="18"/>
                <w:lang w:val="zh-CN"/>
              </w:rPr>
            </w:pPr>
            <w:r>
              <w:rPr>
                <w:rFonts w:hint="eastAsia" w:ascii="宋体" w:hAnsi="宋体" w:cs="宋体"/>
                <w:snapToGrid w:val="0"/>
                <w:kern w:val="0"/>
                <w:sz w:val="18"/>
                <w:szCs w:val="18"/>
                <w:lang w:val="zh-CN"/>
              </w:rPr>
              <w:t>5）所提供的的边缘计算网关模块支持与3D仿真平台虚实仿真，能够通过USB连接至三维仿真软件实现虚实互动三维仿真控制；</w:t>
            </w:r>
          </w:p>
          <w:p w14:paraId="042C37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snapToGrid w:val="0"/>
                <w:kern w:val="0"/>
                <w:sz w:val="18"/>
                <w:szCs w:val="18"/>
                <w:lang w:val="zh-CN"/>
              </w:rPr>
            </w:pPr>
            <w:r>
              <w:rPr>
                <w:rFonts w:hint="eastAsia" w:ascii="宋体" w:hAnsi="宋体" w:cs="宋体"/>
                <w:snapToGrid w:val="0"/>
                <w:kern w:val="0"/>
                <w:sz w:val="18"/>
                <w:szCs w:val="18"/>
                <w:lang w:val="zh-CN"/>
              </w:rPr>
              <w:t>6）提供Python编程与集成开发环境，软件配套多种工业总线及数据通信的开发与应用，支持Modbus-DTU、Modbus-TCP、TCP、UDP、HTTP、MQTT以及串口通信协议，配置SDK开发包；</w:t>
            </w:r>
          </w:p>
          <w:p w14:paraId="5EFD1F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snapToGrid w:val="0"/>
                <w:kern w:val="0"/>
                <w:sz w:val="18"/>
                <w:szCs w:val="18"/>
                <w:lang w:val="zh-CN"/>
              </w:rPr>
            </w:pPr>
            <w:r>
              <w:rPr>
                <w:rFonts w:hint="eastAsia" w:ascii="宋体" w:hAnsi="宋体" w:cs="宋体"/>
                <w:snapToGrid w:val="0"/>
                <w:kern w:val="0"/>
                <w:sz w:val="18"/>
                <w:szCs w:val="18"/>
                <w:lang w:val="zh-CN"/>
              </w:rPr>
              <w:t>3、工业互联网低代码编程平台</w:t>
            </w:r>
          </w:p>
          <w:p w14:paraId="05494A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snapToGrid w:val="0"/>
                <w:kern w:val="0"/>
                <w:sz w:val="18"/>
                <w:szCs w:val="18"/>
                <w:lang w:val="zh-CN"/>
              </w:rPr>
            </w:pPr>
            <w:r>
              <w:rPr>
                <w:rFonts w:hint="eastAsia" w:ascii="宋体" w:hAnsi="宋体" w:cs="宋体"/>
                <w:snapToGrid w:val="0"/>
                <w:kern w:val="0"/>
                <w:sz w:val="18"/>
                <w:szCs w:val="18"/>
                <w:lang w:val="zh-CN"/>
              </w:rPr>
              <w:t>1）基于B/S架构，具有前端看板图表数据编辑，后端数据流管理应用的平台，能够实现对于工业互联网低代码编辑与监控应用；</w:t>
            </w:r>
          </w:p>
          <w:p w14:paraId="00A72A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snapToGrid w:val="0"/>
                <w:kern w:val="0"/>
                <w:sz w:val="18"/>
                <w:szCs w:val="18"/>
                <w:lang w:val="zh-CN"/>
              </w:rPr>
            </w:pPr>
            <w:r>
              <w:rPr>
                <w:rFonts w:hint="eastAsia" w:ascii="宋体" w:hAnsi="宋体" w:cs="宋体"/>
                <w:snapToGrid w:val="0"/>
                <w:kern w:val="0"/>
                <w:sz w:val="18"/>
                <w:szCs w:val="18"/>
                <w:lang w:val="zh-CN"/>
              </w:rPr>
              <w:t>2）前端图表UI设计：具有饼形图、表格、滚动条、柱状图等功能模块，可通过拖拽式进行布局和页面设计，支持文件导入、导出、保存等，支持在线预览；</w:t>
            </w:r>
          </w:p>
          <w:p w14:paraId="214E6D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snapToGrid w:val="0"/>
                <w:kern w:val="0"/>
                <w:sz w:val="18"/>
                <w:szCs w:val="18"/>
                <w:lang w:val="zh-CN"/>
              </w:rPr>
            </w:pPr>
            <w:r>
              <w:rPr>
                <w:rFonts w:hint="eastAsia" w:ascii="宋体" w:hAnsi="宋体" w:cs="宋体"/>
                <w:snapToGrid w:val="0"/>
                <w:kern w:val="0"/>
                <w:sz w:val="18"/>
                <w:szCs w:val="18"/>
                <w:lang w:val="zh-CN"/>
              </w:rPr>
              <w:t>3）后端数据管理功能：基于数据流程图编程，采用低代码模块化拖拽接线方式能够完成工业互联网的数据采集与流程管理，支持MQTT，MySQL，modbus-tcp，以太网TCP，以及HTTP等通讯模块，支持文件导入、导出、保存等功能；（提供软件功能截图并加盖公章）</w:t>
            </w:r>
          </w:p>
          <w:p w14:paraId="0CA0F5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snapToGrid w:val="0"/>
                <w:kern w:val="0"/>
                <w:sz w:val="18"/>
                <w:szCs w:val="18"/>
                <w:lang w:val="zh-CN"/>
              </w:rPr>
            </w:pPr>
            <w:r>
              <w:rPr>
                <w:rFonts w:hint="eastAsia" w:ascii="宋体" w:hAnsi="宋体" w:cs="宋体"/>
                <w:snapToGrid w:val="0"/>
                <w:kern w:val="0"/>
                <w:sz w:val="18"/>
                <w:szCs w:val="18"/>
                <w:lang w:val="zh-CN"/>
              </w:rPr>
              <w:t>4）部署与应用：提供软件系统本地化部署与安装，并提供基于该微型产线单元的数据管理到数据可视化的应用案例，能够监控各个控制系统单元的连接，IO以及动作状态能够实时进行过程监控，提供实验手册，PPT等；</w:t>
            </w:r>
          </w:p>
          <w:p w14:paraId="0D0A21C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snapToGrid w:val="0"/>
                <w:kern w:val="0"/>
                <w:sz w:val="18"/>
                <w:szCs w:val="18"/>
                <w:lang w:val="zh-CN"/>
              </w:rPr>
            </w:pPr>
            <w:r>
              <w:rPr>
                <w:rFonts w:hint="eastAsia" w:ascii="宋体" w:hAnsi="宋体" w:cs="宋体"/>
                <w:snapToGrid w:val="0"/>
                <w:kern w:val="0"/>
                <w:sz w:val="18"/>
                <w:szCs w:val="18"/>
                <w:lang w:val="zh-CN"/>
              </w:rPr>
              <w:t>5）案例及应用：提供基于该产线的自动化低代码监控开发工程案例；</w:t>
            </w:r>
          </w:p>
          <w:p w14:paraId="6FAA96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snapToGrid w:val="0"/>
                <w:kern w:val="0"/>
                <w:sz w:val="18"/>
                <w:szCs w:val="18"/>
                <w:lang w:val="zh-CN"/>
              </w:rPr>
            </w:pPr>
            <w:r>
              <w:rPr>
                <w:rFonts w:hint="eastAsia" w:ascii="宋体" w:hAnsi="宋体" w:cs="宋体"/>
                <w:snapToGrid w:val="0"/>
                <w:kern w:val="0"/>
                <w:sz w:val="18"/>
                <w:szCs w:val="18"/>
                <w:lang w:val="zh-CN"/>
              </w:rPr>
              <w:t>6）数字孪生3D仿真：基于低代码工业互联网平台能够连接至3D仿真虚拟工厂，能够以虚拟工厂代替实体工厂实现工业互联网监控与仿真开发应用；（提供软件功能截图并加盖公章）</w:t>
            </w:r>
          </w:p>
          <w:p w14:paraId="444123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2"/>
                <w:szCs w:val="22"/>
              </w:rPr>
            </w:pPr>
            <w:r>
              <w:rPr>
                <w:rFonts w:hint="eastAsia" w:ascii="宋体" w:hAnsi="宋体" w:cs="宋体"/>
                <w:snapToGrid w:val="0"/>
                <w:kern w:val="0"/>
                <w:sz w:val="18"/>
                <w:szCs w:val="18"/>
                <w:lang w:val="zh-CN"/>
              </w:rPr>
              <w:t>4、支持二次开发及扩展</w:t>
            </w:r>
          </w:p>
        </w:tc>
      </w:tr>
    </w:tbl>
    <w:p w14:paraId="090295E0">
      <w:pPr>
        <w:widowControl/>
        <w:shd w:val="clear" w:color="auto" w:fill="FFFFFF"/>
        <w:spacing w:line="360" w:lineRule="auto"/>
        <w:jc w:val="left"/>
        <w:rPr>
          <w:rFonts w:hint="eastAsia" w:ascii="宋体" w:hAnsi="宋体" w:cs="Arial"/>
          <w:b/>
          <w:color w:val="333333"/>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7FE99AE-F992-47BD-988C-3FF952B077C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7FFAEFF" w:usb1="F9DFFFFF" w:usb2="0000007F" w:usb3="00000000" w:csb0="203F01FF" w:csb1="DFFF0000"/>
  </w:font>
  <w:font w:name="仿宋">
    <w:panose1 w:val="02010609060101010101"/>
    <w:charset w:val="86"/>
    <w:family w:val="modern"/>
    <w:pitch w:val="default"/>
    <w:sig w:usb0="800002BF" w:usb1="38CF7CFA" w:usb2="00000016" w:usb3="00000000" w:csb0="00040001" w:csb1="00000000"/>
  </w:font>
  <w:font w:name="WPSEMBED2">
    <w:panose1 w:val="020B0604020202020204"/>
    <w:charset w:val="86"/>
    <w:family w:val="auto"/>
    <w:pitch w:val="default"/>
    <w:sig w:usb0="F7FFAEFF" w:usb1="F9DFFFFF" w:usb2="0000007F" w:usb3="00000000" w:csb0="203F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ZWU5ZDY4NWE0NzVkODJmMTE0MjUyOWYzYzIzMzcifQ=="/>
  </w:docVars>
  <w:rsids>
    <w:rsidRoot w:val="79E60680"/>
    <w:rsid w:val="00004CFF"/>
    <w:rsid w:val="00020F3A"/>
    <w:rsid w:val="00072511"/>
    <w:rsid w:val="000B2A78"/>
    <w:rsid w:val="000F5E8B"/>
    <w:rsid w:val="00106776"/>
    <w:rsid w:val="0015791C"/>
    <w:rsid w:val="00163AC5"/>
    <w:rsid w:val="00183E4D"/>
    <w:rsid w:val="001D4F27"/>
    <w:rsid w:val="00240F07"/>
    <w:rsid w:val="00283FE9"/>
    <w:rsid w:val="002866A3"/>
    <w:rsid w:val="002968FB"/>
    <w:rsid w:val="002A62C9"/>
    <w:rsid w:val="002B1AFC"/>
    <w:rsid w:val="00325C92"/>
    <w:rsid w:val="0033001B"/>
    <w:rsid w:val="003566AF"/>
    <w:rsid w:val="003808EA"/>
    <w:rsid w:val="003C344A"/>
    <w:rsid w:val="003F29D7"/>
    <w:rsid w:val="00425A1E"/>
    <w:rsid w:val="00430634"/>
    <w:rsid w:val="004611E7"/>
    <w:rsid w:val="00472E6F"/>
    <w:rsid w:val="004B72FC"/>
    <w:rsid w:val="004F3B57"/>
    <w:rsid w:val="00557A95"/>
    <w:rsid w:val="00564925"/>
    <w:rsid w:val="005E045C"/>
    <w:rsid w:val="00602DCB"/>
    <w:rsid w:val="006228BB"/>
    <w:rsid w:val="0066618B"/>
    <w:rsid w:val="006B2A08"/>
    <w:rsid w:val="006F3EDF"/>
    <w:rsid w:val="007222D3"/>
    <w:rsid w:val="00800C8E"/>
    <w:rsid w:val="00810583"/>
    <w:rsid w:val="00815EEB"/>
    <w:rsid w:val="00856868"/>
    <w:rsid w:val="00982982"/>
    <w:rsid w:val="009D25D1"/>
    <w:rsid w:val="00A374EE"/>
    <w:rsid w:val="00A824C1"/>
    <w:rsid w:val="00AC7F08"/>
    <w:rsid w:val="00B023AD"/>
    <w:rsid w:val="00BA3E98"/>
    <w:rsid w:val="00BF6037"/>
    <w:rsid w:val="00C303F2"/>
    <w:rsid w:val="00C634A6"/>
    <w:rsid w:val="00CA311D"/>
    <w:rsid w:val="00CB5FF2"/>
    <w:rsid w:val="00CD3C6C"/>
    <w:rsid w:val="00D24083"/>
    <w:rsid w:val="00D72D0A"/>
    <w:rsid w:val="00D8639B"/>
    <w:rsid w:val="00DC0C91"/>
    <w:rsid w:val="00E43D12"/>
    <w:rsid w:val="00E74EAE"/>
    <w:rsid w:val="00EA34A7"/>
    <w:rsid w:val="00EB1027"/>
    <w:rsid w:val="00EC40BE"/>
    <w:rsid w:val="00EF4957"/>
    <w:rsid w:val="00F01B79"/>
    <w:rsid w:val="00F20F79"/>
    <w:rsid w:val="00F218CD"/>
    <w:rsid w:val="00F24D10"/>
    <w:rsid w:val="00F266A2"/>
    <w:rsid w:val="00F46177"/>
    <w:rsid w:val="00F468D8"/>
    <w:rsid w:val="00F60EE5"/>
    <w:rsid w:val="00F7198A"/>
    <w:rsid w:val="00F72593"/>
    <w:rsid w:val="00FD1395"/>
    <w:rsid w:val="00FF1765"/>
    <w:rsid w:val="0201499D"/>
    <w:rsid w:val="0F1D38DB"/>
    <w:rsid w:val="10DB11B5"/>
    <w:rsid w:val="17D10D76"/>
    <w:rsid w:val="1BDB2B53"/>
    <w:rsid w:val="240A633C"/>
    <w:rsid w:val="2F7B4CBE"/>
    <w:rsid w:val="3C414910"/>
    <w:rsid w:val="69750903"/>
    <w:rsid w:val="6E2B2924"/>
    <w:rsid w:val="7695067C"/>
    <w:rsid w:val="79E60680"/>
    <w:rsid w:val="7F062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autoRedefine/>
    <w:unhideWhenUsed/>
    <w:qFormat/>
    <w:uiPriority w:val="9"/>
    <w:pPr>
      <w:keepNext/>
      <w:keepLines/>
      <w:spacing w:before="260" w:after="260" w:line="416" w:lineRule="auto"/>
      <w:outlineLvl w:val="2"/>
    </w:pPr>
    <w:rPr>
      <w:rFonts w:eastAsia="宋体"/>
      <w:b/>
      <w:bCs/>
      <w:sz w:val="32"/>
      <w:szCs w:val="32"/>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style>
  <w:style w:type="paragraph" w:styleId="6">
    <w:name w:val="annotation text"/>
    <w:basedOn w:val="1"/>
    <w:link w:val="17"/>
    <w:qFormat/>
    <w:uiPriority w:val="0"/>
    <w:pPr>
      <w:jc w:val="left"/>
    </w:pPr>
  </w:style>
  <w:style w:type="paragraph" w:styleId="7">
    <w:name w:val="Balloon Text"/>
    <w:basedOn w:val="1"/>
    <w:link w:val="19"/>
    <w:uiPriority w:val="0"/>
    <w:rPr>
      <w:sz w:val="18"/>
      <w:szCs w:val="18"/>
    </w:r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18"/>
    <w:qFormat/>
    <w:uiPriority w:val="0"/>
    <w:rPr>
      <w:b/>
      <w:bCs/>
    </w:rPr>
  </w:style>
  <w:style w:type="character" w:styleId="13">
    <w:name w:val="annotation reference"/>
    <w:basedOn w:val="12"/>
    <w:qFormat/>
    <w:uiPriority w:val="0"/>
    <w:rPr>
      <w:sz w:val="21"/>
      <w:szCs w:val="21"/>
    </w:rPr>
  </w:style>
  <w:style w:type="paragraph" w:customStyle="1" w:styleId="14">
    <w:name w:val="样式1"/>
    <w:basedOn w:val="1"/>
    <w:qFormat/>
    <w:uiPriority w:val="0"/>
    <w:pPr>
      <w:ind w:firstLine="883" w:firstLineChars="200"/>
    </w:pPr>
    <w:rPr>
      <w:rFonts w:ascii="Calibri" w:hAnsi="Calibri" w:eastAsia="宋体" w:cs="Times New Roman"/>
      <w:sz w:val="30"/>
    </w:rPr>
  </w:style>
  <w:style w:type="character" w:customStyle="1" w:styleId="15">
    <w:name w:val="页眉 字符"/>
    <w:basedOn w:val="12"/>
    <w:link w:val="9"/>
    <w:qFormat/>
    <w:uiPriority w:val="0"/>
    <w:rPr>
      <w:kern w:val="2"/>
      <w:sz w:val="18"/>
      <w:szCs w:val="18"/>
    </w:rPr>
  </w:style>
  <w:style w:type="character" w:customStyle="1" w:styleId="16">
    <w:name w:val="页脚 字符"/>
    <w:basedOn w:val="12"/>
    <w:link w:val="8"/>
    <w:qFormat/>
    <w:uiPriority w:val="0"/>
    <w:rPr>
      <w:kern w:val="2"/>
      <w:sz w:val="18"/>
      <w:szCs w:val="18"/>
    </w:rPr>
  </w:style>
  <w:style w:type="character" w:customStyle="1" w:styleId="17">
    <w:name w:val="批注文字 字符"/>
    <w:basedOn w:val="12"/>
    <w:link w:val="6"/>
    <w:qFormat/>
    <w:uiPriority w:val="0"/>
    <w:rPr>
      <w:kern w:val="2"/>
      <w:sz w:val="21"/>
      <w:szCs w:val="22"/>
    </w:rPr>
  </w:style>
  <w:style w:type="character" w:customStyle="1" w:styleId="18">
    <w:name w:val="批注主题 字符"/>
    <w:basedOn w:val="17"/>
    <w:link w:val="10"/>
    <w:qFormat/>
    <w:uiPriority w:val="0"/>
    <w:rPr>
      <w:b/>
      <w:bCs/>
      <w:kern w:val="2"/>
      <w:sz w:val="21"/>
      <w:szCs w:val="22"/>
    </w:rPr>
  </w:style>
  <w:style w:type="character" w:customStyle="1" w:styleId="19">
    <w:name w:val="批注框文本 字符"/>
    <w:basedOn w:val="12"/>
    <w:link w:val="7"/>
    <w:qFormat/>
    <w:uiPriority w:val="0"/>
    <w:rPr>
      <w:kern w:val="2"/>
      <w:sz w:val="18"/>
      <w:szCs w:val="18"/>
    </w:rPr>
  </w:style>
  <w:style w:type="paragraph" w:styleId="20">
    <w:name w:val="List Paragraph"/>
    <w:basedOn w:val="1"/>
    <w:unhideWhenUsed/>
    <w:qFormat/>
    <w:uiPriority w:val="99"/>
    <w:pPr>
      <w:ind w:firstLine="420" w:firstLineChars="200"/>
    </w:pPr>
  </w:style>
  <w:style w:type="character" w:customStyle="1" w:styleId="21">
    <w:name w:val="标题 2 字符"/>
    <w:basedOn w:val="12"/>
    <w:link w:val="4"/>
    <w:qFormat/>
    <w:uiPriority w:val="0"/>
    <w:rPr>
      <w:rFonts w:ascii="Arial" w:hAnsi="Arial" w:eastAsia="黑体" w:cs="Times New Roman"/>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66451-E7DF-4171-AEE2-B6B1CB8C58A7}">
  <ds:schemaRefs/>
</ds:datastoreItem>
</file>

<file path=docProps/app.xml><?xml version="1.0" encoding="utf-8"?>
<Properties xmlns="http://schemas.openxmlformats.org/officeDocument/2006/extended-properties" xmlns:vt="http://schemas.openxmlformats.org/officeDocument/2006/docPropsVTypes">
  <Template>Normal</Template>
  <Company>Win10_64</Company>
  <Pages>1</Pages>
  <Words>2346</Words>
  <Characters>2654</Characters>
  <Lines>21</Lines>
  <Paragraphs>5</Paragraphs>
  <TotalTime>1</TotalTime>
  <ScaleCrop>false</ScaleCrop>
  <LinksUpToDate>false</LinksUpToDate>
  <CharactersWithSpaces>2737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2023-12-28T03:28:00Z</dcterms:created>
  <dc:creator>裘伟</dc:creator>
  <cp:lastModifiedBy>刘瑞洁</cp:lastModifiedBy>
  <cp:lastPrinted>2024-01-02T08:03:00Z</cp:lastPrinted>
  <dcterms:modified xsi:type="dcterms:W3CDTF">2026-05-15T07:04:11Z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BDBDD9A755E44F8E976DB75CD6BF7E97_11</vt:lpwstr>
  </property>
  <property fmtid="{D5CDD505-2E9C-101B-9397-08002B2CF9AE}" pid="4" name="KSOTemplateDocerSaveRecord">
    <vt:lpwstr>eyJoZGlkIjoiZWQ0ZTNlNTQ5MGY3NGI0ZjBkMmY1Mzk2MDg5MTIyMjgiLCJ1c2VySWQiOiIxMDMyNTc2NjA4In0=</vt:lpwstr>
  </property>
</Properties>
</file>