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29F77A">
      <w:pPr>
        <w:adjustRightInd w:val="0"/>
        <w:snapToGrid w:val="0"/>
        <w:spacing w:line="580" w:lineRule="exact"/>
        <w:rPr>
          <w:rFonts w:hint="eastAsia" w:ascii="宋体" w:hAnsi="宋体" w:cs="宋体"/>
          <w:b/>
          <w:bCs/>
          <w:color w:val="auto"/>
          <w:sz w:val="24"/>
          <w:lang w:bidi="zh-TW"/>
        </w:rPr>
      </w:pPr>
      <w:bookmarkStart w:id="0" w:name="_GoBack"/>
      <w:bookmarkEnd w:id="0"/>
      <w:r>
        <w:rPr>
          <w:rFonts w:hint="eastAsia" w:ascii="宋体" w:hAnsi="宋体" w:cs="宋体"/>
          <w:b/>
          <w:bCs/>
          <w:color w:val="auto"/>
          <w:sz w:val="24"/>
          <w:lang w:val="en-US" w:eastAsia="zh-CN" w:bidi="zh-TW"/>
        </w:rPr>
        <w:t>附件：</w:t>
      </w:r>
      <w:r>
        <w:rPr>
          <w:rFonts w:hint="eastAsia" w:ascii="宋体" w:hAnsi="宋体" w:cs="宋体"/>
          <w:b/>
          <w:bCs/>
          <w:color w:val="auto"/>
          <w:sz w:val="24"/>
          <w:lang w:bidi="zh-TW"/>
        </w:rPr>
        <w:t>采购技术要求</w:t>
      </w:r>
    </w:p>
    <w:tbl>
      <w:tblPr>
        <w:tblStyle w:val="11"/>
        <w:tblW w:w="104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229"/>
        <w:gridCol w:w="455"/>
        <w:gridCol w:w="654"/>
        <w:gridCol w:w="7571"/>
      </w:tblGrid>
      <w:tr w14:paraId="6F7A9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62" w:type="dxa"/>
            <w:tcBorders>
              <w:tl2br w:val="nil"/>
              <w:tr2bl w:val="nil"/>
            </w:tcBorders>
            <w:vAlign w:val="center"/>
          </w:tcPr>
          <w:p w14:paraId="689D1E6B">
            <w:pPr>
              <w:spacing w:line="360" w:lineRule="auto"/>
              <w:jc w:val="center"/>
              <w:rPr>
                <w:rFonts w:cs="Times New Roman" w:asciiTheme="minorEastAsia" w:hAnsiTheme="minorEastAsia"/>
                <w:sz w:val="21"/>
                <w:szCs w:val="21"/>
              </w:rPr>
            </w:pPr>
            <w:r>
              <w:rPr>
                <w:rFonts w:hint="eastAsia" w:cs="Times New Roman" w:asciiTheme="minorEastAsia" w:hAnsiTheme="minorEastAsia"/>
                <w:sz w:val="21"/>
                <w:szCs w:val="21"/>
              </w:rPr>
              <w:t>序号</w:t>
            </w:r>
          </w:p>
        </w:tc>
        <w:tc>
          <w:tcPr>
            <w:tcW w:w="1229" w:type="dxa"/>
            <w:tcBorders>
              <w:tl2br w:val="nil"/>
              <w:tr2bl w:val="nil"/>
            </w:tcBorders>
            <w:vAlign w:val="center"/>
          </w:tcPr>
          <w:p w14:paraId="37683E0B">
            <w:pPr>
              <w:widowControl/>
              <w:spacing w:line="360" w:lineRule="auto"/>
              <w:jc w:val="center"/>
              <w:rPr>
                <w:rFonts w:cs="Times New Roman" w:asciiTheme="minorEastAsia" w:hAnsiTheme="minorEastAsia"/>
                <w:sz w:val="21"/>
                <w:szCs w:val="21"/>
              </w:rPr>
            </w:pPr>
            <w:r>
              <w:rPr>
                <w:rFonts w:hint="eastAsia" w:cs="Times New Roman" w:asciiTheme="minorEastAsia" w:hAnsiTheme="minorEastAsia"/>
                <w:sz w:val="21"/>
                <w:szCs w:val="21"/>
              </w:rPr>
              <w:t>货物</w:t>
            </w:r>
          </w:p>
          <w:p w14:paraId="23B5C83C">
            <w:pPr>
              <w:widowControl/>
              <w:spacing w:line="360" w:lineRule="auto"/>
              <w:jc w:val="center"/>
              <w:rPr>
                <w:rFonts w:cs="Times New Roman" w:asciiTheme="minorEastAsia" w:hAnsiTheme="minorEastAsia"/>
                <w:sz w:val="21"/>
                <w:szCs w:val="21"/>
              </w:rPr>
            </w:pPr>
            <w:r>
              <w:rPr>
                <w:rFonts w:hint="eastAsia" w:cs="Times New Roman" w:asciiTheme="minorEastAsia" w:hAnsiTheme="minorEastAsia"/>
                <w:sz w:val="21"/>
                <w:szCs w:val="21"/>
              </w:rPr>
              <w:t>名称</w:t>
            </w:r>
          </w:p>
        </w:tc>
        <w:tc>
          <w:tcPr>
            <w:tcW w:w="455" w:type="dxa"/>
            <w:tcBorders>
              <w:tl2br w:val="nil"/>
              <w:tr2bl w:val="nil"/>
            </w:tcBorders>
            <w:vAlign w:val="center"/>
          </w:tcPr>
          <w:p w14:paraId="518A11CC">
            <w:pPr>
              <w:widowControl/>
              <w:spacing w:line="360" w:lineRule="auto"/>
              <w:jc w:val="center"/>
              <w:rPr>
                <w:rFonts w:cs="Times New Roman" w:asciiTheme="minorEastAsia" w:hAnsiTheme="minorEastAsia"/>
                <w:sz w:val="21"/>
                <w:szCs w:val="21"/>
              </w:rPr>
            </w:pPr>
            <w:r>
              <w:rPr>
                <w:rFonts w:hint="eastAsia" w:cs="Times New Roman" w:asciiTheme="minorEastAsia" w:hAnsiTheme="minorEastAsia"/>
                <w:sz w:val="21"/>
                <w:szCs w:val="21"/>
              </w:rPr>
              <w:t>单位</w:t>
            </w:r>
          </w:p>
        </w:tc>
        <w:tc>
          <w:tcPr>
            <w:tcW w:w="654" w:type="dxa"/>
            <w:tcBorders>
              <w:tl2br w:val="nil"/>
              <w:tr2bl w:val="nil"/>
            </w:tcBorders>
            <w:vAlign w:val="center"/>
          </w:tcPr>
          <w:p w14:paraId="75336634">
            <w:pPr>
              <w:widowControl/>
              <w:spacing w:line="360" w:lineRule="auto"/>
              <w:jc w:val="center"/>
              <w:rPr>
                <w:rFonts w:cs="Times New Roman" w:asciiTheme="minorEastAsia" w:hAnsiTheme="minorEastAsia"/>
                <w:sz w:val="21"/>
                <w:szCs w:val="21"/>
              </w:rPr>
            </w:pPr>
            <w:r>
              <w:rPr>
                <w:rFonts w:hint="eastAsia" w:cs="Times New Roman" w:asciiTheme="minorEastAsia" w:hAnsiTheme="minorEastAsia"/>
                <w:sz w:val="21"/>
                <w:szCs w:val="21"/>
              </w:rPr>
              <w:t>数量</w:t>
            </w:r>
          </w:p>
        </w:tc>
        <w:tc>
          <w:tcPr>
            <w:tcW w:w="7571" w:type="dxa"/>
            <w:tcBorders>
              <w:tl2br w:val="nil"/>
              <w:tr2bl w:val="nil"/>
            </w:tcBorders>
            <w:vAlign w:val="center"/>
          </w:tcPr>
          <w:p w14:paraId="329B728B">
            <w:pPr>
              <w:widowControl/>
              <w:spacing w:line="360" w:lineRule="auto"/>
              <w:jc w:val="center"/>
              <w:rPr>
                <w:rFonts w:cs="Times New Roman" w:asciiTheme="minorEastAsia" w:hAnsiTheme="minorEastAsia"/>
                <w:sz w:val="21"/>
                <w:szCs w:val="21"/>
              </w:rPr>
            </w:pPr>
            <w:r>
              <w:rPr>
                <w:rFonts w:hint="eastAsia" w:cs="Times New Roman" w:asciiTheme="minorEastAsia" w:hAnsiTheme="minorEastAsia"/>
                <w:sz w:val="21"/>
                <w:szCs w:val="21"/>
              </w:rPr>
              <w:t>主要规格</w:t>
            </w:r>
          </w:p>
        </w:tc>
      </w:tr>
      <w:tr w14:paraId="083EF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62" w:type="dxa"/>
            <w:tcBorders>
              <w:tl2br w:val="nil"/>
              <w:tr2bl w:val="nil"/>
            </w:tcBorders>
            <w:vAlign w:val="center"/>
          </w:tcPr>
          <w:p w14:paraId="07E1B597">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Times New Roman"/>
                <w:sz w:val="21"/>
                <w:szCs w:val="21"/>
              </w:rPr>
            </w:pPr>
            <w:r>
              <w:rPr>
                <w:rFonts w:hint="eastAsia" w:ascii="宋体" w:hAnsi="宋体" w:cs="Times New Roman"/>
                <w:sz w:val="21"/>
                <w:szCs w:val="21"/>
                <w:lang w:val="en-US" w:eastAsia="zh-CN"/>
              </w:rPr>
              <w:t>1</w:t>
            </w:r>
          </w:p>
        </w:tc>
        <w:tc>
          <w:tcPr>
            <w:tcW w:w="1229" w:type="dxa"/>
            <w:tcBorders>
              <w:tl2br w:val="nil"/>
              <w:tr2bl w:val="nil"/>
            </w:tcBorders>
            <w:vAlign w:val="center"/>
          </w:tcPr>
          <w:p w14:paraId="28C8ED13">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Times New Roman"/>
                <w:sz w:val="21"/>
                <w:szCs w:val="21"/>
              </w:rPr>
            </w:pPr>
            <w:r>
              <w:rPr>
                <w:rFonts w:hint="eastAsia" w:ascii="宋体" w:hAnsi="宋体" w:cs="Times New Roman"/>
                <w:sz w:val="21"/>
                <w:szCs w:val="21"/>
                <w:lang w:val="en-US" w:eastAsia="zh-CN"/>
              </w:rPr>
              <w:t>服务器</w:t>
            </w:r>
          </w:p>
        </w:tc>
        <w:tc>
          <w:tcPr>
            <w:tcW w:w="455" w:type="dxa"/>
            <w:tcBorders>
              <w:tl2br w:val="nil"/>
              <w:tr2bl w:val="nil"/>
            </w:tcBorders>
            <w:vAlign w:val="center"/>
          </w:tcPr>
          <w:p w14:paraId="5E3016C7">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Times New Roman"/>
                <w:sz w:val="21"/>
                <w:szCs w:val="21"/>
                <w:lang w:val="en-US" w:eastAsia="zh-CN"/>
              </w:rPr>
            </w:pPr>
            <w:r>
              <w:rPr>
                <w:rFonts w:hint="eastAsia" w:ascii="宋体" w:hAnsi="宋体" w:cs="Times New Roman"/>
                <w:sz w:val="21"/>
                <w:szCs w:val="21"/>
                <w:lang w:val="en-US" w:eastAsia="zh-CN"/>
              </w:rPr>
              <w:t>台</w:t>
            </w:r>
          </w:p>
        </w:tc>
        <w:tc>
          <w:tcPr>
            <w:tcW w:w="654" w:type="dxa"/>
            <w:tcBorders>
              <w:tl2br w:val="nil"/>
              <w:tr2bl w:val="nil"/>
            </w:tcBorders>
            <w:vAlign w:val="center"/>
          </w:tcPr>
          <w:p w14:paraId="073F74B7">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Times New Roman"/>
                <w:sz w:val="21"/>
                <w:szCs w:val="21"/>
                <w:lang w:val="en-US" w:eastAsia="zh-CN"/>
              </w:rPr>
            </w:pPr>
            <w:r>
              <w:rPr>
                <w:rFonts w:hint="eastAsia" w:ascii="宋体" w:hAnsi="宋体" w:cs="Times New Roman"/>
                <w:sz w:val="21"/>
                <w:szCs w:val="21"/>
                <w:lang w:val="en-US" w:eastAsia="zh-CN"/>
              </w:rPr>
              <w:t>1</w:t>
            </w:r>
          </w:p>
        </w:tc>
        <w:tc>
          <w:tcPr>
            <w:tcW w:w="7571" w:type="dxa"/>
            <w:tcBorders>
              <w:tl2br w:val="nil"/>
              <w:tr2bl w:val="nil"/>
            </w:tcBorders>
            <w:vAlign w:val="center"/>
          </w:tcPr>
          <w:p w14:paraId="201CD22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1、2路机架式服务器，含导轨；</w:t>
            </w:r>
          </w:p>
          <w:p w14:paraId="376B59B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2、2颗CPU，单颗核心数≥12，主频≥2.1GHz；</w:t>
            </w:r>
          </w:p>
          <w:p w14:paraId="31C36FD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3、内存：≥64G；</w:t>
            </w:r>
          </w:p>
          <w:p w14:paraId="4BAA6E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4、硬盘：≥4块480GB SSD 硬盘；</w:t>
            </w:r>
          </w:p>
          <w:p w14:paraId="2C26C9A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5、支持 RAID 0,1,5,6,10,50,60 等多种模式，缓存≥1GB阵列卡；</w:t>
            </w:r>
          </w:p>
          <w:p w14:paraId="427F5A8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6、1块10G 双口万兆网卡，配备光模块；</w:t>
            </w:r>
          </w:p>
          <w:p w14:paraId="5E936ED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7、电源：≥500W，1+1 热插拔冗余电源；</w:t>
            </w:r>
          </w:p>
          <w:p w14:paraId="3D98940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cs="Times New Roman" w:asciiTheme="minorEastAsia" w:hAnsiTheme="minorEastAsia"/>
                <w:sz w:val="21"/>
                <w:szCs w:val="21"/>
              </w:rPr>
            </w:pPr>
            <w:r>
              <w:rPr>
                <w:rFonts w:hint="eastAsia" w:ascii="宋体" w:hAnsi="宋体" w:cs="Times New Roman"/>
                <w:sz w:val="21"/>
                <w:szCs w:val="21"/>
              </w:rPr>
              <w:t>8、质保不低于三年；</w:t>
            </w:r>
          </w:p>
        </w:tc>
      </w:tr>
      <w:tr w14:paraId="4381E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62" w:type="dxa"/>
            <w:tcBorders>
              <w:tl2br w:val="nil"/>
              <w:tr2bl w:val="nil"/>
            </w:tcBorders>
            <w:vAlign w:val="center"/>
          </w:tcPr>
          <w:p w14:paraId="45F7E074">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Times New Roman"/>
                <w:sz w:val="21"/>
                <w:szCs w:val="21"/>
                <w:lang w:val="en-US" w:eastAsia="zh-CN"/>
              </w:rPr>
            </w:pPr>
            <w:r>
              <w:rPr>
                <w:rFonts w:hint="eastAsia" w:ascii="宋体" w:hAnsi="宋体" w:cs="Times New Roman"/>
                <w:sz w:val="21"/>
                <w:szCs w:val="21"/>
                <w:lang w:val="en-US" w:eastAsia="zh-CN"/>
              </w:rPr>
              <w:t>2</w:t>
            </w:r>
          </w:p>
        </w:tc>
        <w:tc>
          <w:tcPr>
            <w:tcW w:w="1229" w:type="dxa"/>
            <w:tcBorders>
              <w:tl2br w:val="nil"/>
              <w:tr2bl w:val="nil"/>
            </w:tcBorders>
            <w:vAlign w:val="center"/>
          </w:tcPr>
          <w:p w14:paraId="5D67175F">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Times New Roman"/>
                <w:sz w:val="21"/>
                <w:szCs w:val="21"/>
              </w:rPr>
            </w:pPr>
            <w:r>
              <w:rPr>
                <w:rFonts w:hint="eastAsia" w:ascii="宋体" w:hAnsi="宋体" w:cs="Times New Roman"/>
                <w:sz w:val="21"/>
                <w:szCs w:val="21"/>
                <w:lang w:val="en-US" w:eastAsia="zh-CN"/>
              </w:rPr>
              <w:t>学生终端</w:t>
            </w:r>
          </w:p>
        </w:tc>
        <w:tc>
          <w:tcPr>
            <w:tcW w:w="455" w:type="dxa"/>
            <w:tcBorders>
              <w:tl2br w:val="nil"/>
              <w:tr2bl w:val="nil"/>
            </w:tcBorders>
            <w:vAlign w:val="center"/>
          </w:tcPr>
          <w:p w14:paraId="7A21354E">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Times New Roman"/>
                <w:sz w:val="21"/>
                <w:szCs w:val="21"/>
                <w:lang w:val="en-US" w:eastAsia="zh-CN"/>
              </w:rPr>
            </w:pPr>
            <w:r>
              <w:rPr>
                <w:rFonts w:hint="eastAsia" w:ascii="宋体" w:hAnsi="宋体" w:cs="Times New Roman"/>
                <w:sz w:val="21"/>
                <w:szCs w:val="21"/>
                <w:lang w:val="en-US" w:eastAsia="zh-CN"/>
              </w:rPr>
              <w:t>台</w:t>
            </w:r>
          </w:p>
        </w:tc>
        <w:tc>
          <w:tcPr>
            <w:tcW w:w="654" w:type="dxa"/>
            <w:tcBorders>
              <w:tl2br w:val="nil"/>
              <w:tr2bl w:val="nil"/>
            </w:tcBorders>
            <w:vAlign w:val="center"/>
          </w:tcPr>
          <w:p w14:paraId="0E5BDFC8">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Times New Roman"/>
                <w:sz w:val="21"/>
                <w:szCs w:val="21"/>
                <w:lang w:val="en-US" w:eastAsia="zh-CN"/>
              </w:rPr>
            </w:pPr>
            <w:r>
              <w:rPr>
                <w:rFonts w:hint="eastAsia" w:ascii="宋体" w:hAnsi="宋体" w:cs="Times New Roman"/>
                <w:sz w:val="21"/>
                <w:szCs w:val="21"/>
                <w:lang w:val="en-US" w:eastAsia="zh-CN"/>
              </w:rPr>
              <w:t>120</w:t>
            </w:r>
          </w:p>
        </w:tc>
        <w:tc>
          <w:tcPr>
            <w:tcW w:w="7571" w:type="dxa"/>
            <w:tcBorders>
              <w:tl2br w:val="nil"/>
              <w:tr2bl w:val="nil"/>
            </w:tcBorders>
            <w:vAlign w:val="center"/>
          </w:tcPr>
          <w:p w14:paraId="74E1CDE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1、CPU：Intel酷睿I3 12代及以上处理器；</w:t>
            </w:r>
          </w:p>
          <w:p w14:paraId="13E312C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2、内存：≥16GB；</w:t>
            </w:r>
          </w:p>
          <w:p w14:paraId="73526B5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3、硬盘：≥512G固态硬盘；</w:t>
            </w:r>
          </w:p>
          <w:p w14:paraId="6699365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4、显卡：集成显卡；</w:t>
            </w:r>
          </w:p>
          <w:p w14:paraId="704BCB1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5、声卡：集成声卡芯片；</w:t>
            </w:r>
          </w:p>
          <w:p w14:paraId="2FBD040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cs="Times New Roman" w:asciiTheme="minorEastAsia" w:hAnsiTheme="minorEastAsia"/>
                <w:sz w:val="21"/>
                <w:szCs w:val="21"/>
              </w:rPr>
            </w:pPr>
            <w:r>
              <w:rPr>
                <w:rFonts w:hint="eastAsia" w:ascii="宋体" w:hAnsi="宋体" w:cs="Times New Roman"/>
                <w:sz w:val="21"/>
                <w:szCs w:val="21"/>
              </w:rPr>
              <w:t>6、键鼠：防水键盘，抗菌鼠标；</w:t>
            </w:r>
          </w:p>
        </w:tc>
      </w:tr>
      <w:tr w14:paraId="0535C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62" w:type="dxa"/>
            <w:tcBorders>
              <w:tl2br w:val="nil"/>
              <w:tr2bl w:val="nil"/>
            </w:tcBorders>
            <w:vAlign w:val="center"/>
          </w:tcPr>
          <w:p w14:paraId="1228F4A1">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Times New Roman"/>
                <w:sz w:val="21"/>
                <w:szCs w:val="21"/>
                <w:lang w:val="en-US" w:eastAsia="zh-CN"/>
              </w:rPr>
            </w:pPr>
            <w:r>
              <w:rPr>
                <w:rFonts w:hint="eastAsia" w:ascii="宋体" w:hAnsi="宋体" w:cs="Times New Roman"/>
                <w:sz w:val="21"/>
                <w:szCs w:val="21"/>
                <w:lang w:val="en-US" w:eastAsia="zh-CN"/>
              </w:rPr>
              <w:t>3</w:t>
            </w:r>
          </w:p>
        </w:tc>
        <w:tc>
          <w:tcPr>
            <w:tcW w:w="1229" w:type="dxa"/>
            <w:tcBorders>
              <w:tl2br w:val="nil"/>
              <w:tr2bl w:val="nil"/>
            </w:tcBorders>
            <w:vAlign w:val="center"/>
          </w:tcPr>
          <w:p w14:paraId="34F7FD07">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Times New Roman"/>
                <w:sz w:val="21"/>
                <w:szCs w:val="21"/>
              </w:rPr>
            </w:pPr>
            <w:r>
              <w:rPr>
                <w:rFonts w:hint="eastAsia" w:ascii="宋体" w:hAnsi="宋体" w:cs="Times New Roman"/>
                <w:sz w:val="21"/>
                <w:szCs w:val="21"/>
                <w:lang w:val="en-US" w:eastAsia="zh-CN"/>
              </w:rPr>
              <w:t>显示器</w:t>
            </w:r>
          </w:p>
        </w:tc>
        <w:tc>
          <w:tcPr>
            <w:tcW w:w="455" w:type="dxa"/>
            <w:tcBorders>
              <w:tl2br w:val="nil"/>
              <w:tr2bl w:val="nil"/>
            </w:tcBorders>
            <w:vAlign w:val="center"/>
          </w:tcPr>
          <w:p w14:paraId="29B77349">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Times New Roman"/>
                <w:sz w:val="21"/>
                <w:szCs w:val="21"/>
                <w:lang w:val="en-US" w:eastAsia="zh-CN"/>
              </w:rPr>
            </w:pPr>
            <w:r>
              <w:rPr>
                <w:rFonts w:hint="eastAsia" w:ascii="宋体" w:hAnsi="宋体" w:cs="Times New Roman"/>
                <w:sz w:val="21"/>
                <w:szCs w:val="21"/>
                <w:lang w:val="en-US" w:eastAsia="zh-CN"/>
              </w:rPr>
              <w:t>台</w:t>
            </w:r>
          </w:p>
        </w:tc>
        <w:tc>
          <w:tcPr>
            <w:tcW w:w="654" w:type="dxa"/>
            <w:tcBorders>
              <w:tl2br w:val="nil"/>
              <w:tr2bl w:val="nil"/>
            </w:tcBorders>
            <w:vAlign w:val="center"/>
          </w:tcPr>
          <w:p w14:paraId="06367A7A">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Times New Roman"/>
                <w:sz w:val="21"/>
                <w:szCs w:val="21"/>
                <w:lang w:val="en-US" w:eastAsia="zh-CN"/>
              </w:rPr>
            </w:pPr>
            <w:r>
              <w:rPr>
                <w:rFonts w:hint="eastAsia" w:ascii="宋体" w:hAnsi="宋体" w:cs="Times New Roman"/>
                <w:sz w:val="21"/>
                <w:szCs w:val="21"/>
                <w:lang w:val="en-US" w:eastAsia="zh-CN"/>
              </w:rPr>
              <w:t>80</w:t>
            </w:r>
          </w:p>
        </w:tc>
        <w:tc>
          <w:tcPr>
            <w:tcW w:w="7571" w:type="dxa"/>
            <w:tcBorders>
              <w:tl2br w:val="nil"/>
              <w:tr2bl w:val="nil"/>
            </w:tcBorders>
            <w:vAlign w:val="center"/>
          </w:tcPr>
          <w:p w14:paraId="3B05B91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cs="Times New Roman" w:asciiTheme="minorEastAsia" w:hAnsiTheme="minorEastAsia"/>
                <w:sz w:val="21"/>
                <w:szCs w:val="21"/>
              </w:rPr>
            </w:pPr>
            <w:r>
              <w:rPr>
                <w:rFonts w:hint="eastAsia" w:ascii="宋体" w:hAnsi="宋体" w:cs="Times New Roman"/>
                <w:sz w:val="21"/>
                <w:szCs w:val="21"/>
              </w:rPr>
              <w:t>显示器：≥23.8寸LED显示器，分辨率≥1920×1080</w:t>
            </w:r>
          </w:p>
        </w:tc>
      </w:tr>
      <w:tr w14:paraId="175D8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62" w:type="dxa"/>
            <w:tcBorders>
              <w:tl2br w:val="nil"/>
              <w:tr2bl w:val="nil"/>
            </w:tcBorders>
            <w:vAlign w:val="center"/>
          </w:tcPr>
          <w:p w14:paraId="67FC68C1">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Times New Roman"/>
                <w:sz w:val="21"/>
                <w:szCs w:val="21"/>
                <w:lang w:val="en-US" w:eastAsia="zh-CN"/>
              </w:rPr>
            </w:pPr>
            <w:r>
              <w:rPr>
                <w:rFonts w:hint="eastAsia" w:ascii="宋体" w:hAnsi="宋体" w:cs="Times New Roman"/>
                <w:sz w:val="21"/>
                <w:szCs w:val="21"/>
                <w:lang w:val="en-US" w:eastAsia="zh-CN"/>
              </w:rPr>
              <w:t>4</w:t>
            </w:r>
          </w:p>
        </w:tc>
        <w:tc>
          <w:tcPr>
            <w:tcW w:w="1229" w:type="dxa"/>
            <w:tcBorders>
              <w:tl2br w:val="nil"/>
              <w:tr2bl w:val="nil"/>
            </w:tcBorders>
            <w:vAlign w:val="center"/>
          </w:tcPr>
          <w:p w14:paraId="5C367EAE">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Times New Roman"/>
                <w:sz w:val="21"/>
                <w:szCs w:val="21"/>
              </w:rPr>
            </w:pPr>
            <w:r>
              <w:rPr>
                <w:rFonts w:hint="eastAsia" w:ascii="宋体" w:hAnsi="宋体" w:cs="Times New Roman"/>
                <w:sz w:val="21"/>
                <w:szCs w:val="21"/>
                <w:lang w:val="en-US" w:eastAsia="zh-CN"/>
              </w:rPr>
              <w:t>教师终端</w:t>
            </w:r>
          </w:p>
        </w:tc>
        <w:tc>
          <w:tcPr>
            <w:tcW w:w="455" w:type="dxa"/>
            <w:tcBorders>
              <w:tl2br w:val="nil"/>
              <w:tr2bl w:val="nil"/>
            </w:tcBorders>
            <w:vAlign w:val="center"/>
          </w:tcPr>
          <w:p w14:paraId="4CDBEA14">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Times New Roman"/>
                <w:sz w:val="21"/>
                <w:szCs w:val="21"/>
                <w:lang w:val="en-US" w:eastAsia="zh-CN"/>
              </w:rPr>
            </w:pPr>
            <w:r>
              <w:rPr>
                <w:rFonts w:hint="eastAsia" w:ascii="宋体" w:hAnsi="宋体" w:cs="Times New Roman"/>
                <w:sz w:val="21"/>
                <w:szCs w:val="21"/>
                <w:lang w:val="en-US" w:eastAsia="zh-CN"/>
              </w:rPr>
              <w:t>台</w:t>
            </w:r>
          </w:p>
        </w:tc>
        <w:tc>
          <w:tcPr>
            <w:tcW w:w="654" w:type="dxa"/>
            <w:tcBorders>
              <w:tl2br w:val="nil"/>
              <w:tr2bl w:val="nil"/>
            </w:tcBorders>
            <w:vAlign w:val="center"/>
          </w:tcPr>
          <w:p w14:paraId="604869EA">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Times New Roman"/>
                <w:sz w:val="21"/>
                <w:szCs w:val="21"/>
                <w:lang w:val="en-US" w:eastAsia="zh-CN"/>
              </w:rPr>
            </w:pPr>
            <w:r>
              <w:rPr>
                <w:rFonts w:hint="eastAsia" w:ascii="宋体" w:hAnsi="宋体" w:cs="Times New Roman"/>
                <w:sz w:val="21"/>
                <w:szCs w:val="21"/>
                <w:lang w:val="en-US" w:eastAsia="zh-CN"/>
              </w:rPr>
              <w:t>2</w:t>
            </w:r>
          </w:p>
        </w:tc>
        <w:tc>
          <w:tcPr>
            <w:tcW w:w="7571" w:type="dxa"/>
            <w:tcBorders>
              <w:tl2br w:val="nil"/>
              <w:tr2bl w:val="nil"/>
            </w:tcBorders>
            <w:vAlign w:val="center"/>
          </w:tcPr>
          <w:p w14:paraId="1F03EE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1、CPU：Intel酷睿i5 12代及以上处理器；</w:t>
            </w:r>
          </w:p>
          <w:p w14:paraId="2EA734F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2、内存：≥16GB；</w:t>
            </w:r>
          </w:p>
          <w:p w14:paraId="3DEFDD9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3、硬盘：≥1T固态硬盘；</w:t>
            </w:r>
          </w:p>
          <w:p w14:paraId="729AB0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4、显卡：独立显卡，显存≥4G；</w:t>
            </w:r>
          </w:p>
          <w:p w14:paraId="782145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5、声卡：集成声卡芯片；</w:t>
            </w:r>
          </w:p>
          <w:p w14:paraId="7F9813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6、键鼠：防水键盘，抗菌鼠标；</w:t>
            </w:r>
          </w:p>
          <w:p w14:paraId="017EC5F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cs="Times New Roman" w:asciiTheme="minorEastAsia" w:hAnsiTheme="minorEastAsia"/>
                <w:sz w:val="21"/>
                <w:szCs w:val="21"/>
              </w:rPr>
            </w:pPr>
            <w:r>
              <w:rPr>
                <w:rFonts w:hint="eastAsia" w:ascii="宋体" w:hAnsi="宋体" w:cs="Times New Roman"/>
                <w:sz w:val="21"/>
                <w:szCs w:val="21"/>
              </w:rPr>
              <w:t>7、质保：质保不低于三年；</w:t>
            </w:r>
          </w:p>
        </w:tc>
      </w:tr>
      <w:tr w14:paraId="7BDD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62" w:type="dxa"/>
            <w:tcBorders>
              <w:tl2br w:val="nil"/>
              <w:tr2bl w:val="nil"/>
            </w:tcBorders>
            <w:vAlign w:val="center"/>
          </w:tcPr>
          <w:p w14:paraId="1481EC4E">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Times New Roman"/>
                <w:sz w:val="21"/>
                <w:szCs w:val="21"/>
                <w:lang w:val="en-US" w:eastAsia="zh-CN"/>
              </w:rPr>
            </w:pPr>
            <w:r>
              <w:rPr>
                <w:rFonts w:hint="eastAsia" w:ascii="宋体" w:hAnsi="宋体" w:cs="Times New Roman"/>
                <w:sz w:val="21"/>
                <w:szCs w:val="21"/>
                <w:lang w:val="en-US" w:eastAsia="zh-CN"/>
              </w:rPr>
              <w:t>5</w:t>
            </w:r>
          </w:p>
        </w:tc>
        <w:tc>
          <w:tcPr>
            <w:tcW w:w="1229" w:type="dxa"/>
            <w:tcBorders>
              <w:tl2br w:val="nil"/>
              <w:tr2bl w:val="nil"/>
            </w:tcBorders>
            <w:vAlign w:val="center"/>
          </w:tcPr>
          <w:p w14:paraId="5E6FF7FC">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Times New Roman"/>
                <w:sz w:val="21"/>
                <w:szCs w:val="21"/>
              </w:rPr>
            </w:pPr>
            <w:r>
              <w:rPr>
                <w:rFonts w:hint="eastAsia" w:ascii="宋体" w:hAnsi="宋体" w:cs="Times New Roman"/>
                <w:sz w:val="21"/>
                <w:szCs w:val="21"/>
                <w:lang w:val="en-US" w:eastAsia="zh-CN"/>
              </w:rPr>
              <w:t>98寸智慧黑板</w:t>
            </w:r>
          </w:p>
        </w:tc>
        <w:tc>
          <w:tcPr>
            <w:tcW w:w="455" w:type="dxa"/>
            <w:tcBorders>
              <w:tl2br w:val="nil"/>
              <w:tr2bl w:val="nil"/>
            </w:tcBorders>
            <w:vAlign w:val="center"/>
          </w:tcPr>
          <w:p w14:paraId="284BCA8E">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Times New Roman"/>
                <w:sz w:val="21"/>
                <w:szCs w:val="21"/>
                <w:lang w:val="en-US" w:eastAsia="zh-CN"/>
              </w:rPr>
            </w:pPr>
            <w:r>
              <w:rPr>
                <w:rFonts w:hint="eastAsia" w:ascii="宋体" w:hAnsi="宋体" w:cs="Times New Roman"/>
                <w:sz w:val="21"/>
                <w:szCs w:val="21"/>
                <w:lang w:val="en-US" w:eastAsia="zh-CN"/>
              </w:rPr>
              <w:t>台</w:t>
            </w:r>
          </w:p>
        </w:tc>
        <w:tc>
          <w:tcPr>
            <w:tcW w:w="654" w:type="dxa"/>
            <w:tcBorders>
              <w:tl2br w:val="nil"/>
              <w:tr2bl w:val="nil"/>
            </w:tcBorders>
            <w:vAlign w:val="center"/>
          </w:tcPr>
          <w:p w14:paraId="2AA5E8CA">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Times New Roman"/>
                <w:sz w:val="21"/>
                <w:szCs w:val="21"/>
                <w:lang w:val="en-US" w:eastAsia="zh-CN"/>
              </w:rPr>
            </w:pPr>
            <w:r>
              <w:rPr>
                <w:rFonts w:hint="eastAsia" w:ascii="宋体" w:hAnsi="宋体" w:cs="Times New Roman"/>
                <w:sz w:val="21"/>
                <w:szCs w:val="21"/>
                <w:lang w:val="en-US" w:eastAsia="zh-CN"/>
              </w:rPr>
              <w:t>1</w:t>
            </w:r>
          </w:p>
        </w:tc>
        <w:tc>
          <w:tcPr>
            <w:tcW w:w="7571" w:type="dxa"/>
            <w:tcBorders>
              <w:tl2br w:val="nil"/>
              <w:tr2bl w:val="nil"/>
            </w:tcBorders>
            <w:vAlign w:val="center"/>
          </w:tcPr>
          <w:p w14:paraId="6817A2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一、整机规格</w:t>
            </w:r>
          </w:p>
          <w:p w14:paraId="72EE2F0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1、整机尺寸≥4800mm×1300mm，中间屏幕采用LED液晶屏体A规屏，显示尺寸98英寸，显示比例16:9，物理分辨率≥3840×2160；</w:t>
            </w:r>
          </w:p>
          <w:p w14:paraId="38C137E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2、屏幕表面采用3.0mm厚度防眩钢化玻璃，玻璃采用微米级颗粒蚀刻AG 工艺，玻璃硬度≥莫氏7级，可达到石英抗划等级，屏体表面强度≥100Mpa；</w:t>
            </w:r>
          </w:p>
          <w:p w14:paraId="5021D8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3、屏体亮度≥400cd/㎡，屏体对比度≥5000:1，最大可视角度178度，触控分辨率≥32768*32768，像素间距0.4935×0.4935；</w:t>
            </w:r>
          </w:p>
          <w:p w14:paraId="2D463B8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 xml:space="preserve">4、采用三段式一体化设计，显示部分边框采用金属包边防护，背部整板采用高强度镀锌钢板材质，整块厚度≥1mm； </w:t>
            </w:r>
          </w:p>
          <w:p w14:paraId="432ABE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二、触控与硬件配置要求</w:t>
            </w:r>
          </w:p>
          <w:p w14:paraId="163162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*1、采用电容触控技术，视线距离屏体10cm处，表面无可见金属条纹，在 Windows、Android、国产化系统下均支持50 点触控及书写划线；（提供第三方检测机构出具的产品合格检测报告复印件并加盖厂家公章）</w:t>
            </w:r>
          </w:p>
          <w:p w14:paraId="593526E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*2、采用国产化12核驱动芯片，CPU配置不低于8核A55，GPU配置不低于4核G52，系统版本不低于14.0，RAM不小于8G，ROM不小于64G；（提供第三方检测机构出具的产品合格检测报告复印件并加盖厂家公章）</w:t>
            </w:r>
          </w:p>
          <w:p w14:paraId="1B8BB3C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3、前置全功能Type-C接口具备音频、视频、数据、触控、充电等功能，外接电脑可调用交互设备麦克风、音响、摄像头等数据；</w:t>
            </w:r>
          </w:p>
          <w:p w14:paraId="0077C2D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*4、前置接口具备中文丝印标识，均为非转接接口，至少包含USB Type-C×1，双通道USB 3.0×2(系统均能被识别，无需区分)，HDMI IN×1高清；后置接口至少包含：USB 2.0×2，RS232×1，RJ45×1，HDMI 2.0高清输入×2，HDMI输出×1（支持安卓及其他通道信号输出），触控USB×1，音频输出Audio out×1；（提供第三方检测机构出具的产品合格检测报告复印件并加盖厂家公章）</w:t>
            </w:r>
          </w:p>
          <w:p w14:paraId="65E1CB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 xml:space="preserve">5、前置组合式针孔电脑还原物理按键，具有中文标识； </w:t>
            </w:r>
          </w:p>
          <w:p w14:paraId="2AB3608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6、前置8个物理快捷按键，可实现录课、音量调节、关闭顶层窗口、截屏等功能；</w:t>
            </w:r>
          </w:p>
          <w:p w14:paraId="052925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7、电源键具备多合一功能，可实现显示器电源开关、电脑开关、辅助电脑系统还原、节能息屏等操作；</w:t>
            </w:r>
          </w:p>
          <w:p w14:paraId="683C2D4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8、无需打开背板，前置接口面板、前置按键面板屏体主板、屏体电源板、扬声器分别支持单独前拆，另具有前掀式维护功能，整体向上掀起角度≥30°；（提供第三方检测机构出具的产品合格检测报告复印件并加盖厂家公章）</w:t>
            </w:r>
          </w:p>
          <w:p w14:paraId="0B01077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9、内置Wi-Fi6无线网卡，在国产化系统下，可实现Wi-Fi无线上网连接、AP无线热点发射，在国产化系统下支持无线设备同时连接数量≥32个,支持自定义设置热点名称和密码，传输距离≥12米；</w:t>
            </w:r>
          </w:p>
          <w:p w14:paraId="2220A0B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10、内置蓝牙5.4模块，工作距离≥12米，在Windows系统下，交互设备可通过蓝牙模块与蓝牙音箱连接，播放交互设备音频，同时支持与具有蓝牙功能的手机连接，进行文件传输；</w:t>
            </w:r>
          </w:p>
          <w:p w14:paraId="5DDA952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11、采用针孔阵列发声设计，具备2.2声道，下边框具有6个发声单元，其中2个前置额定15W中高音音箱（含4个发声单元），1个额定30W箱体，总额定功率≥60W，峰值功率最高可达80W，可单独对高音、低音、平衡音进行调整；</w:t>
            </w:r>
          </w:p>
          <w:p w14:paraId="2D0D8C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12、内置 5K 超高清一体化摄像头，置于交互设备上方中心位置，支持≥1900W有效像素的视频采集，可输出最大分辨率≥5104*3864的图片与视频，支持2D降噪，支持扫描二维码功能，支持搭配 AI软件使用，支持远程巡课系统；</w:t>
            </w:r>
          </w:p>
          <w:p w14:paraId="4EC9E7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13、内置8阵列麦克风，拾音角度180°，全向拾音距离最大可达12米；</w:t>
            </w:r>
          </w:p>
          <w:p w14:paraId="4AE5F5C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14、具备无线扩音功能，与交互设备对频后，可通过交互设备内置音箱扩声，支持自动混音，采用无线MIC输入接口，与交互设备接入的其他多媒体信号可自动进行混音后通过屏体内置音箱播出，具备独立扩声系统，在交互设备通电关机的情况下接入无线MIC，仍可以通过交互设备音箱实现扩声功能。（提供第三方检测机构出具的产品合格检测报告复印件并加盖厂家公章）</w:t>
            </w:r>
          </w:p>
          <w:p w14:paraId="3057BF2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15、支持声音模式调节，可根据不同使用场景将声音模式设置为标准模式、会议模式、影院模式、教室模式、与自定义模式；</w:t>
            </w:r>
          </w:p>
          <w:p w14:paraId="75DA0DB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*16、为保障售后服务，提供制造商厂商针对本项目三年免费售后服务承诺函并加盖厂商公章；</w:t>
            </w:r>
          </w:p>
          <w:p w14:paraId="1728A1D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三、视力保护要求</w:t>
            </w:r>
          </w:p>
          <w:p w14:paraId="6FF263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1、屏体具有物理防蓝光功能，无需其他操作即可达到蓝光防护效果；</w:t>
            </w:r>
          </w:p>
          <w:p w14:paraId="25AF3AD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2、支持DC调光，直流信号控制背光亮度，实现稳定光源无频闪，使用摄像设备拍摄时画面无条纹闪烁，支持多级亮度调节；</w:t>
            </w:r>
          </w:p>
          <w:p w14:paraId="46B3F10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3、整机在源头减少有害蓝光波段能量，有害蓝光波长415-455nm≤30%，低蓝光模式屏幕色温无变化；</w:t>
            </w:r>
          </w:p>
          <w:p w14:paraId="67D8B24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4、全通道支持纸质护眼模式，可实现画面纹理的实时调整；</w:t>
            </w:r>
          </w:p>
          <w:p w14:paraId="07B3C4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四、电脑模块及电子教鞭</w:t>
            </w:r>
          </w:p>
          <w:p w14:paraId="156A73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1、OPS内置电脑核心数≥8核，主频≥2.0GHz，配置不低于i5标准，内存≥8GB DDR4，硬盘≥256GB SSD；</w:t>
            </w:r>
          </w:p>
          <w:p w14:paraId="41CFC33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2、电脑模块可抽拉式插入整机，实现无单独接线的插拔；</w:t>
            </w:r>
          </w:p>
          <w:p w14:paraId="48A7F59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3、整机的连接采用万兆级接口，传输速率≥10Gbps；</w:t>
            </w:r>
          </w:p>
          <w:p w14:paraId="1D0F952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4、采用导电布+硅胶材质笔头，每支搭配3个可替换笔头，笔身具备不少于五个按键，</w:t>
            </w:r>
          </w:p>
          <w:p w14:paraId="0A298C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5、支持上下翻页、激光、音量调节、聚光灯、放大镜、标注、擦除划线、PPT播放及退出播放、黑屏、飞鼠等基础功能；</w:t>
            </w:r>
          </w:p>
          <w:p w14:paraId="24A7565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6、支持扩声、语音识别、语音翻译等扩展功能；</w:t>
            </w:r>
          </w:p>
          <w:p w14:paraId="630323E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cs="Times New Roman" w:asciiTheme="minorEastAsia" w:hAnsiTheme="minorEastAsia"/>
                <w:sz w:val="21"/>
                <w:szCs w:val="21"/>
              </w:rPr>
            </w:pPr>
            <w:r>
              <w:rPr>
                <w:rFonts w:hint="eastAsia" w:ascii="宋体" w:hAnsi="宋体" w:cs="Times New Roman"/>
                <w:sz w:val="21"/>
                <w:szCs w:val="21"/>
              </w:rPr>
              <w:t>*7、教鞭具备一笔一码，支持PC端平台查看设备信息，支持老师在移动端平台查看绑定的产品信息、设备种类、型号、管理员信息、班级信息、技术员信息、设备状态等；（提供功能截图）</w:t>
            </w:r>
          </w:p>
        </w:tc>
      </w:tr>
      <w:tr w14:paraId="662DE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62" w:type="dxa"/>
            <w:tcBorders>
              <w:tl2br w:val="nil"/>
              <w:tr2bl w:val="nil"/>
            </w:tcBorders>
            <w:vAlign w:val="center"/>
          </w:tcPr>
          <w:p w14:paraId="0B0EA49C">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Times New Roman"/>
                <w:sz w:val="21"/>
                <w:szCs w:val="21"/>
                <w:lang w:val="en-US" w:eastAsia="zh-CN"/>
              </w:rPr>
            </w:pPr>
            <w:r>
              <w:rPr>
                <w:rFonts w:hint="eastAsia" w:ascii="宋体" w:hAnsi="宋体" w:cs="Times New Roman"/>
                <w:sz w:val="21"/>
                <w:szCs w:val="21"/>
                <w:lang w:val="en-US" w:eastAsia="zh-CN"/>
              </w:rPr>
              <w:t>6</w:t>
            </w:r>
          </w:p>
        </w:tc>
        <w:tc>
          <w:tcPr>
            <w:tcW w:w="1229" w:type="dxa"/>
            <w:tcBorders>
              <w:tl2br w:val="nil"/>
              <w:tr2bl w:val="nil"/>
            </w:tcBorders>
            <w:vAlign w:val="center"/>
          </w:tcPr>
          <w:p w14:paraId="7E521D94">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Times New Roman"/>
                <w:sz w:val="21"/>
                <w:szCs w:val="21"/>
              </w:rPr>
            </w:pPr>
            <w:r>
              <w:rPr>
                <w:rFonts w:hint="eastAsia" w:ascii="宋体" w:hAnsi="宋体" w:cs="Times New Roman"/>
                <w:sz w:val="21"/>
                <w:szCs w:val="21"/>
                <w:lang w:val="en-US" w:eastAsia="zh-CN"/>
              </w:rPr>
              <w:t>学生机管控系统（管理端）</w:t>
            </w:r>
          </w:p>
        </w:tc>
        <w:tc>
          <w:tcPr>
            <w:tcW w:w="455" w:type="dxa"/>
            <w:tcBorders>
              <w:tl2br w:val="nil"/>
              <w:tr2bl w:val="nil"/>
            </w:tcBorders>
            <w:vAlign w:val="center"/>
          </w:tcPr>
          <w:p w14:paraId="7B8523D0">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Times New Roman"/>
                <w:sz w:val="21"/>
                <w:szCs w:val="21"/>
                <w:lang w:val="en-US" w:eastAsia="zh-CN"/>
              </w:rPr>
            </w:pPr>
            <w:r>
              <w:rPr>
                <w:rFonts w:hint="eastAsia" w:ascii="宋体" w:hAnsi="宋体" w:cs="Times New Roman"/>
                <w:sz w:val="21"/>
                <w:szCs w:val="21"/>
                <w:lang w:val="en-US" w:eastAsia="zh-CN"/>
              </w:rPr>
              <w:t>套</w:t>
            </w:r>
          </w:p>
        </w:tc>
        <w:tc>
          <w:tcPr>
            <w:tcW w:w="654" w:type="dxa"/>
            <w:tcBorders>
              <w:tl2br w:val="nil"/>
              <w:tr2bl w:val="nil"/>
            </w:tcBorders>
            <w:vAlign w:val="center"/>
          </w:tcPr>
          <w:p w14:paraId="4D64F45D">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Times New Roman"/>
                <w:sz w:val="21"/>
                <w:szCs w:val="21"/>
                <w:lang w:val="en-US" w:eastAsia="zh-CN"/>
              </w:rPr>
            </w:pPr>
            <w:r>
              <w:rPr>
                <w:rFonts w:hint="eastAsia" w:ascii="宋体" w:hAnsi="宋体" w:cs="Times New Roman"/>
                <w:sz w:val="21"/>
                <w:szCs w:val="21"/>
                <w:lang w:val="en-US" w:eastAsia="zh-CN"/>
              </w:rPr>
              <w:t>1</w:t>
            </w:r>
          </w:p>
        </w:tc>
        <w:tc>
          <w:tcPr>
            <w:tcW w:w="7571" w:type="dxa"/>
            <w:tcBorders>
              <w:tl2br w:val="nil"/>
              <w:tr2bl w:val="nil"/>
            </w:tcBorders>
            <w:vAlign w:val="center"/>
          </w:tcPr>
          <w:p w14:paraId="68E06F6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1、基于WEB可视化界面管理，单台管理服务器可支持对VDI、VOI两种架构以及虚实双系统的统一管理，支持麒麟、统信等国产操作系统；</w:t>
            </w:r>
          </w:p>
          <w:p w14:paraId="3B1CD22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2、可对VDI和VOI云桌面、终端、电子教学软件、用户、基础镜像等进行统一管理，在一个Web平台上即可完成VDI和VOI云桌面基础镜像上传、模板创建、发布、用户创建、云终端管理、电子教学软件配置更新等操作；(提供软件功能截图证明）</w:t>
            </w:r>
          </w:p>
          <w:p w14:paraId="5E479C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3、支持通过集群功能实现负载均衡，当主控服务器出现宕机或网络故障时，备控自动切换为主控，实现会话切换不中断，无需增加第三方控制器；</w:t>
            </w:r>
          </w:p>
          <w:p w14:paraId="5525BD4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*4、支持VDI、VOI融合架构下的教学和个人桌面两种管理模式，教学桌面和个人桌面管理功能和界面上需独立拆分；(提供软件功能截图证明）</w:t>
            </w:r>
          </w:p>
          <w:p w14:paraId="6D978F7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5、支持VDI教学模板创建、编辑、删除、复制、下载、开关机等，模板可转让和共享给不同的管理员；可对模板的磁盘文件进行签名和文件校验，不完整的磁盘文件可实现重传；</w:t>
            </w:r>
          </w:p>
          <w:p w14:paraId="11D00F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6、支持VOI教学模板创建、编辑、删除、复制、下载、开关机、种子生成等，模板可转让、共享和链接分享给不同的管理员；可对模板的磁盘文件进行查看，可对系统镜像和数据镜像重新生成种子；(提供软件功能截图证明）</w:t>
            </w:r>
          </w:p>
          <w:p w14:paraId="22A5CFD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*7、支持配置VDI、VOI教学模板内安装的软件清单，在终端系统选择界面可显示每个桌面对应的软件清单描述信息；(提供软件功能截图证明）</w:t>
            </w:r>
          </w:p>
          <w:p w14:paraId="44CB63E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8、支持自定义云桌面显示传输协议模式，可根据服务器和终端配置选择矢量模式或流模式；(提供软件功能截图证明）</w:t>
            </w:r>
          </w:p>
          <w:p w14:paraId="06041C8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9、支持创建、删除、编辑VOI场景分组，可对组中的VOI桌面的系统盘和数据盘分别进行还原属性的编辑，可预设系统盘预留空间和数据盘预留空间；模板更新可选择增量、覆盖等不同的更新模式；可配置VOI终端的网络模式，支持开启或禁用将客户端IP作为桌面IP；(提供软件功能截图证明）</w:t>
            </w:r>
          </w:p>
          <w:p w14:paraId="538C55D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10、支持设置虚实双系统，可指定开机默认进入VDI虚系统或VOI实系统；默认进入VDI虚系统时，可选择VDI断网后自动、手动、不切换到VOI实系统，选择自动切换时，可选择设置VDI允许的网络时延；(提供软件功能截图证明）</w:t>
            </w:r>
          </w:p>
          <w:p w14:paraId="1B56863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 xml:space="preserve">11、VDI教学桌面支持排课功能，可设置学期、支持按分组、教学场景进行教学排课，根据课表时间自动启动； </w:t>
            </w:r>
          </w:p>
          <w:p w14:paraId="6774927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*12、VDI终端可通过管理平台设置电子教学软件的顶层服务IP、教室编号、教学分组、组播IP、组播端口、组播模式等，组播模式包括但不限于流模式和矢量模式；(提供软件功能截图证明）</w:t>
            </w:r>
          </w:p>
          <w:p w14:paraId="27873DC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*13、支持对VOI终端批量进行维护，包括进入维护模式、清空所有桌面、下发桌面、取消下发、删除特定桌面、指定TCP模式下发桌面等；(提供软件功能截图证明）</w:t>
            </w:r>
          </w:p>
          <w:p w14:paraId="40DE727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14、支持对VOI终端添加数据盘，可设置数据盘大小和清空模式，数据盘可选择多个桌面组进行共享；</w:t>
            </w:r>
          </w:p>
          <w:p w14:paraId="2759427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15、教师端屏幕广播时采用终端本地网络，无需占用云桌面网络带宽，云桌面断开连接时，不影响屏幕广播的正常使用；(提供软件功能截图证明）</w:t>
            </w:r>
          </w:p>
          <w:p w14:paraId="69F0F2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16、支持对VOI终端进行批量桌面切换、进入或退出编辑模式，编辑模式下可实现还原桌面不还原，同时可根据需求批量清除编辑模式下产生的数据；</w:t>
            </w:r>
          </w:p>
          <w:p w14:paraId="0F32C29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*17、VOI终端可通过管理平台批量设置教室号、教师机IP、顶层服务IP、频道号、角色标识，角色可选择学生终端或教师终端；(提供软件功能截图证明）</w:t>
            </w:r>
          </w:p>
          <w:p w14:paraId="13AF3C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18、支持对多个VOI分组或教室进行批量操作，操作内容包括但不限于维护、下发、取消、清空、启用监控、关闭监控；(提供软件功能截图证明）</w:t>
            </w:r>
          </w:p>
          <w:p w14:paraId="166EBF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*19、支持对所选终端或分组内所有终端导出MAC地址信息，方便终端硬件地址的收集和汇总；(提供软件功能截图证明）</w:t>
            </w:r>
          </w:p>
          <w:p w14:paraId="7552CE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20、支持对平台的数据进行备份，自动备份时可设置备份文件数量、路径、周期和执行时间，备份周期最长可选择按月备份，执行时间可精确分钟；</w:t>
            </w:r>
          </w:p>
          <w:p w14:paraId="55541F2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21、支持分权管理，可对不同的管理员提供不同的管理权限，权限可精确到每个模块的相关功能；</w:t>
            </w:r>
          </w:p>
          <w:p w14:paraId="6531123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22、可设置云桌面、服务器、终端进行定时关机任务，可批量设置关机的执行周期和执行时间，执行时间每分钟；</w:t>
            </w:r>
          </w:p>
          <w:p w14:paraId="12FE0A5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*23、支持对平台进行整体升级和模块升级，执行模块升级时可选择管理平台、顶层服务、BT服务、协议库等模块进行独立升级；(提供软件功能截图证明）</w:t>
            </w:r>
          </w:p>
          <w:p w14:paraId="2E80410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*24、支持管理平台开启或关闭维护模式，实现管理员在计划内进行有效升级维护；(提供软件功能截图证明）</w:t>
            </w:r>
          </w:p>
          <w:p w14:paraId="7378890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25、云桌面多系统时，教师端可一键控制学生进入指定的云桌面，提供选择进入指定桌面的功能界面截图；</w:t>
            </w:r>
          </w:p>
          <w:p w14:paraId="17CE5DC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*26、管控系统需支持120台终端集中统一管控，系统软件不少于三年免费升级服务，提供厂商售后服务函并加盖公章；</w:t>
            </w:r>
          </w:p>
          <w:p w14:paraId="2216B17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cs="Times New Roman" w:asciiTheme="minorEastAsia" w:hAnsiTheme="minorEastAsia"/>
                <w:sz w:val="21"/>
                <w:szCs w:val="21"/>
              </w:rPr>
            </w:pPr>
            <w:r>
              <w:rPr>
                <w:rFonts w:hint="eastAsia" w:ascii="宋体" w:hAnsi="宋体" w:cs="Times New Roman"/>
                <w:sz w:val="21"/>
                <w:szCs w:val="21"/>
              </w:rPr>
              <w:t>*27、为简化管理，投标产品必须与采购人现有的机房统一管理软件平台无缝对接，实现所有教学管理相关数据在机房统一管理软件平台统一部署及升级，提供厂商承诺函并加盖公章。</w:t>
            </w:r>
          </w:p>
        </w:tc>
      </w:tr>
      <w:tr w14:paraId="608AE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62" w:type="dxa"/>
            <w:tcBorders>
              <w:tl2br w:val="nil"/>
              <w:tr2bl w:val="nil"/>
            </w:tcBorders>
            <w:vAlign w:val="center"/>
          </w:tcPr>
          <w:p w14:paraId="09E51089">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Times New Roman"/>
                <w:sz w:val="21"/>
                <w:szCs w:val="21"/>
                <w:lang w:val="en-US" w:eastAsia="zh-CN"/>
              </w:rPr>
            </w:pPr>
            <w:r>
              <w:rPr>
                <w:rFonts w:hint="eastAsia" w:ascii="宋体" w:hAnsi="宋体" w:cs="Times New Roman"/>
                <w:sz w:val="21"/>
                <w:szCs w:val="21"/>
                <w:lang w:val="en-US" w:eastAsia="zh-CN"/>
              </w:rPr>
              <w:t>7</w:t>
            </w:r>
          </w:p>
        </w:tc>
        <w:tc>
          <w:tcPr>
            <w:tcW w:w="1229" w:type="dxa"/>
            <w:tcBorders>
              <w:tl2br w:val="nil"/>
              <w:tr2bl w:val="nil"/>
            </w:tcBorders>
            <w:vAlign w:val="center"/>
          </w:tcPr>
          <w:p w14:paraId="38E58297">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Times New Roman"/>
                <w:sz w:val="21"/>
                <w:szCs w:val="21"/>
              </w:rPr>
            </w:pPr>
            <w:r>
              <w:rPr>
                <w:rFonts w:hint="eastAsia" w:ascii="宋体" w:hAnsi="宋体" w:cs="Times New Roman"/>
                <w:sz w:val="21"/>
                <w:szCs w:val="21"/>
                <w:lang w:val="en-US" w:eastAsia="zh-CN"/>
              </w:rPr>
              <w:t>学生机管控系统（学生端）</w:t>
            </w:r>
          </w:p>
        </w:tc>
        <w:tc>
          <w:tcPr>
            <w:tcW w:w="455" w:type="dxa"/>
            <w:tcBorders>
              <w:tl2br w:val="nil"/>
              <w:tr2bl w:val="nil"/>
            </w:tcBorders>
            <w:vAlign w:val="center"/>
          </w:tcPr>
          <w:p w14:paraId="77DCFF26">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Times New Roman"/>
                <w:sz w:val="21"/>
                <w:szCs w:val="21"/>
                <w:lang w:val="en-US" w:eastAsia="zh-CN"/>
              </w:rPr>
            </w:pPr>
            <w:r>
              <w:rPr>
                <w:rFonts w:hint="eastAsia" w:ascii="宋体" w:hAnsi="宋体" w:cs="Times New Roman"/>
                <w:sz w:val="21"/>
                <w:szCs w:val="21"/>
                <w:lang w:val="en-US" w:eastAsia="zh-CN"/>
              </w:rPr>
              <w:t>点位</w:t>
            </w:r>
          </w:p>
        </w:tc>
        <w:tc>
          <w:tcPr>
            <w:tcW w:w="654" w:type="dxa"/>
            <w:tcBorders>
              <w:tl2br w:val="nil"/>
              <w:tr2bl w:val="nil"/>
            </w:tcBorders>
            <w:vAlign w:val="center"/>
          </w:tcPr>
          <w:p w14:paraId="456D87C6">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Times New Roman"/>
                <w:sz w:val="21"/>
                <w:szCs w:val="21"/>
                <w:lang w:val="en-US" w:eastAsia="zh-CN"/>
              </w:rPr>
            </w:pPr>
            <w:r>
              <w:rPr>
                <w:rFonts w:hint="eastAsia" w:ascii="宋体" w:hAnsi="宋体" w:cs="Times New Roman"/>
                <w:sz w:val="21"/>
                <w:szCs w:val="21"/>
                <w:lang w:val="en-US" w:eastAsia="zh-CN"/>
              </w:rPr>
              <w:t>120</w:t>
            </w:r>
          </w:p>
        </w:tc>
        <w:tc>
          <w:tcPr>
            <w:tcW w:w="7571" w:type="dxa"/>
            <w:tcBorders>
              <w:tl2br w:val="nil"/>
              <w:tr2bl w:val="nil"/>
            </w:tcBorders>
            <w:vAlign w:val="center"/>
          </w:tcPr>
          <w:p w14:paraId="637FDEA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1、支持在登录界面即可查看云桌面中所安装的软件信息，无需进入云桌面系统；</w:t>
            </w:r>
          </w:p>
          <w:p w14:paraId="1EB5B13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*2、可通过终端程序可对电子教学软件参数进行配置，可设置教师机标识为教师终端、学生终端；教室号、教师机IP、顶层服务IP、频道号；；(提供软件功能截图证明）</w:t>
            </w:r>
          </w:p>
          <w:p w14:paraId="22F3FE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3、支持离线启动，当环境中网络故障或服务器故障时，终端能正常进入桌面系统和使用；</w:t>
            </w:r>
          </w:p>
          <w:p w14:paraId="225734F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4、终端可手动进入或退出维护模式，针对还原桌面进入维护模式后可保存桌面在使用过程中的数据不还原；</w:t>
            </w:r>
          </w:p>
          <w:p w14:paraId="7E0461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5、可在终端客户端中进入命令行、同步默认桌面、取消同步、重装终端等操作；(提供软件功能截图证明）</w:t>
            </w:r>
          </w:p>
          <w:p w14:paraId="427698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*6、支持终端清除数据功能，将不还原桌面、还原桌面进入维护模式下保存的系统设置和数据进行一键还原；(提供软件功能截图证明）</w:t>
            </w:r>
          </w:p>
          <w:p w14:paraId="31F7348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7、在终端设置界面，可以手动删除单个桌面或所有桌面，无需通过管理平台下发指令；</w:t>
            </w:r>
          </w:p>
          <w:p w14:paraId="763660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*8、终端支持检测/修复磁盘工具，当终端因为其他异常情况出现磁盘故障时，可通过该工具实现一键检测和修复；(提供软件功能截图证明）</w:t>
            </w:r>
          </w:p>
          <w:p w14:paraId="0968190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9、支持样机上传功能，在终端安装好系统之后，通过Windows客户端可以将当前终端系统上传为服务器模板，进行批量部署；</w:t>
            </w:r>
          </w:p>
          <w:p w14:paraId="111E697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10、支持教师\学生机角色自动识别，即系统基于终端的教师\学生机角色自动识别教师\学生角色，无需提前在系统模板中设置，方便当教学过程中教师机故障后，无需修改模板等其他操作，选择任意一台学生机一键切换为教师机即可继续教学。提供软件功能截图证明；</w:t>
            </w:r>
          </w:p>
          <w:p w14:paraId="7025CB9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11、支持静默更新功能，终端处于开机使用过程中，监控到后台模板有更新，可在不影响现有使用情况下进行自动更新；</w:t>
            </w:r>
          </w:p>
          <w:p w14:paraId="79B29D5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*12、本地系统和桌面系统电教软件为同一个安装程序，只需通过程序运行环境和身份识别即可区分当前运行位置与角色，提供软件功能截图证明；</w:t>
            </w:r>
          </w:p>
          <w:p w14:paraId="5E39FA6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13、支持服务器关机状态下的终端辅助批量部署，包括系统程序的批量部署、服务器参数批量设置和序号的批量设置；(提供软件功能截图证明）</w:t>
            </w:r>
          </w:p>
          <w:p w14:paraId="4264094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14、支持终端桌面更新过程中的断点续传，有效处理各种异常关机、断电、断网等引起的中断，减少用户不必要的重复性操作与等待时间。当客户端开机或网络连接恢复正常时，服务端自动发现客户端并继续更新，无须手工干预；</w:t>
            </w:r>
          </w:p>
          <w:p w14:paraId="11D6AEE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15、支持终端虚拟磁盘部署多个相同或不相同的系统及软件环境，各系统完全相互独立，且同时显示于引导选单上，实现一机多用。可指定引导选单上的任意系统作为默认引导系统；</w:t>
            </w:r>
          </w:p>
          <w:p w14:paraId="49B18F9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*16、支持管理平台对单台终端或所有终端发送消息，终端的消息提示框可设置指定时间消失或需要手动关闭；(提供软件功能截图证明）</w:t>
            </w:r>
          </w:p>
          <w:p w14:paraId="0314DBD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17、支持Windows系统在线屏幕水印功能，桌面右上角置顶显示当前桌面信息水印（不会被其他窗口覆盖）内容包括当前桌面计算机名，终端序号，桌面IP等信息，便于管理员维护时快速查找对应的终端；</w:t>
            </w:r>
          </w:p>
          <w:p w14:paraId="57355C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cs="Times New Roman" w:asciiTheme="minorEastAsia" w:hAnsiTheme="minorEastAsia"/>
                <w:sz w:val="21"/>
                <w:szCs w:val="21"/>
              </w:rPr>
            </w:pPr>
            <w:r>
              <w:rPr>
                <w:rFonts w:hint="eastAsia" w:ascii="宋体" w:hAnsi="宋体" w:cs="Times New Roman"/>
                <w:sz w:val="21"/>
                <w:szCs w:val="21"/>
              </w:rPr>
              <w:t>*18、当终端和服务器端网络异常时，教师还可以通过终端教学软件进行作业收发功能。文件发送可设置发送到桌面或终端，提供软件功能截图证明；</w:t>
            </w:r>
          </w:p>
        </w:tc>
      </w:tr>
      <w:tr w14:paraId="40DEC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62" w:type="dxa"/>
            <w:tcBorders>
              <w:tl2br w:val="nil"/>
              <w:tr2bl w:val="nil"/>
            </w:tcBorders>
            <w:vAlign w:val="center"/>
          </w:tcPr>
          <w:p w14:paraId="330D92EE">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Times New Roman"/>
                <w:sz w:val="21"/>
                <w:szCs w:val="21"/>
                <w:lang w:val="en-US" w:eastAsia="zh-CN"/>
              </w:rPr>
            </w:pPr>
            <w:r>
              <w:rPr>
                <w:rFonts w:hint="eastAsia" w:ascii="宋体" w:hAnsi="宋体" w:cs="Times New Roman"/>
                <w:sz w:val="21"/>
                <w:szCs w:val="21"/>
                <w:lang w:val="en-US" w:eastAsia="zh-CN"/>
              </w:rPr>
              <w:t>8</w:t>
            </w:r>
          </w:p>
        </w:tc>
        <w:tc>
          <w:tcPr>
            <w:tcW w:w="1229" w:type="dxa"/>
            <w:tcBorders>
              <w:tl2br w:val="nil"/>
              <w:tr2bl w:val="nil"/>
            </w:tcBorders>
            <w:vAlign w:val="center"/>
          </w:tcPr>
          <w:p w14:paraId="3488ADE0">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Times New Roman"/>
                <w:sz w:val="21"/>
                <w:szCs w:val="21"/>
              </w:rPr>
            </w:pPr>
            <w:r>
              <w:rPr>
                <w:rFonts w:hint="eastAsia" w:ascii="宋体" w:hAnsi="宋体" w:cs="Times New Roman"/>
                <w:sz w:val="21"/>
                <w:szCs w:val="21"/>
                <w:lang w:val="en-US" w:eastAsia="zh-CN"/>
              </w:rPr>
              <w:t>电教软件</w:t>
            </w:r>
          </w:p>
        </w:tc>
        <w:tc>
          <w:tcPr>
            <w:tcW w:w="455" w:type="dxa"/>
            <w:tcBorders>
              <w:tl2br w:val="nil"/>
              <w:tr2bl w:val="nil"/>
            </w:tcBorders>
            <w:vAlign w:val="center"/>
          </w:tcPr>
          <w:p w14:paraId="17F832BB">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Times New Roman"/>
                <w:sz w:val="21"/>
                <w:szCs w:val="21"/>
                <w:lang w:val="en-US" w:eastAsia="zh-CN"/>
              </w:rPr>
            </w:pPr>
            <w:r>
              <w:rPr>
                <w:rFonts w:hint="eastAsia" w:ascii="宋体" w:hAnsi="宋体" w:cs="Times New Roman"/>
                <w:sz w:val="21"/>
                <w:szCs w:val="21"/>
                <w:lang w:val="en-US" w:eastAsia="zh-CN"/>
              </w:rPr>
              <w:t>套</w:t>
            </w:r>
          </w:p>
        </w:tc>
        <w:tc>
          <w:tcPr>
            <w:tcW w:w="654" w:type="dxa"/>
            <w:tcBorders>
              <w:tl2br w:val="nil"/>
              <w:tr2bl w:val="nil"/>
            </w:tcBorders>
            <w:vAlign w:val="center"/>
          </w:tcPr>
          <w:p w14:paraId="1097C4D9">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Times New Roman"/>
                <w:sz w:val="21"/>
                <w:szCs w:val="21"/>
                <w:lang w:val="en-US" w:eastAsia="zh-CN"/>
              </w:rPr>
            </w:pPr>
            <w:r>
              <w:rPr>
                <w:rFonts w:hint="eastAsia" w:ascii="宋体" w:hAnsi="宋体" w:cs="Times New Roman"/>
                <w:sz w:val="21"/>
                <w:szCs w:val="21"/>
                <w:lang w:val="en-US" w:eastAsia="zh-CN"/>
              </w:rPr>
              <w:t>1</w:t>
            </w:r>
          </w:p>
        </w:tc>
        <w:tc>
          <w:tcPr>
            <w:tcW w:w="7571" w:type="dxa"/>
            <w:tcBorders>
              <w:tl2br w:val="nil"/>
              <w:tr2bl w:val="nil"/>
            </w:tcBorders>
            <w:vAlign w:val="center"/>
          </w:tcPr>
          <w:p w14:paraId="0AB5C3D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1、安装部署快捷，升级简易方便，全中文人性化界面设计，配有详细的在线帮助、支持主窗口功能按钮、浮动工具条等操作方式；</w:t>
            </w:r>
          </w:p>
          <w:p w14:paraId="1FC57B8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2、支持软件防杀进程、断线保护、卸载密码保护等功能，支持Windows系列操作系统和Linux操作系统部署；</w:t>
            </w:r>
          </w:p>
          <w:p w14:paraId="0DBC8E9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3、采用流媒体技术，实现教师机播放的视频同步广播到学生机，且达到流畅无延时，支持常见的媒体音视频格式， Windows Media文件、VCD文件、DVD文件、Real文件、AVI文件、MP3等主流文件格式，支持720p、1080p的高清视频；</w:t>
            </w:r>
          </w:p>
          <w:p w14:paraId="18E7D0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4、支持云桌面教师\学生机角色自动识别，即云桌面基于终端的教师\学生机角色自动识别云桌面教师\学生角色，无需提前在云桌面模板中设置，方便当教学过程中教师机故障后，无需修改模板等其他操作，选择任意一台学生机一键切换为教师机即可继续教学，提供软件功能截图证明；</w:t>
            </w:r>
          </w:p>
          <w:p w14:paraId="09286DB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5、支持将教师机屏幕实时广播给单一、部分或全体学生，可选择全屏或窗口方式。</w:t>
            </w:r>
          </w:p>
          <w:p w14:paraId="3D13E7A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 xml:space="preserve">6、教师端屏幕广播时采用终端本地网络，无需占用云桌面网络带宽，云桌面断开连接时，不影响屏幕广播的正常使用； </w:t>
            </w:r>
          </w:p>
          <w:p w14:paraId="155EEA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 xml:space="preserve">7、收发作业时，由教师端的云桌面和学生端的云桌面直接传输，无需占用本地网络资源； </w:t>
            </w:r>
          </w:p>
          <w:p w14:paraId="3B704D9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8、支持即时通讯功能，包括文字或图片通讯等，支持举手功能，学生端点击“举手”，教师端显示明显标识并文字提示；</w:t>
            </w:r>
          </w:p>
          <w:p w14:paraId="2662023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*9、学生端与教师端为同一安装应用程序，兼容云桌面单一镜像管理，多个教室更新时，更新单一镜像模板即可完成所有云桌面更新，无需管理员手动调整或设置，提供软件功能截图证明；</w:t>
            </w:r>
          </w:p>
          <w:p w14:paraId="5990F12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10、教师机可以监视单一、部分、全体学生机的屏幕；</w:t>
            </w:r>
          </w:p>
          <w:p w14:paraId="1E808B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*11、支持学生签到功能，保留学生的签到信息，实现一键导出，提供软件功能截图证明；</w:t>
            </w:r>
          </w:p>
          <w:p w14:paraId="0F36A8A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12、支持上网控制，设定学生访问网站的黑名单或白名单，对学生可以访问的Internet站点进行管理；</w:t>
            </w:r>
          </w:p>
          <w:p w14:paraId="5E505A8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 xml:space="preserve">13、可以对终端设备进行远程开机、关机、重启等操作，终端包括但不限于X86和ARM终端； </w:t>
            </w:r>
          </w:p>
          <w:p w14:paraId="141BBD9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 xml:space="preserve">14、支持电教服务分布式部署，及减少服务器压力同时满足多班级同时并发访问需要； </w:t>
            </w:r>
          </w:p>
          <w:p w14:paraId="064F8B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cs="Times New Roman" w:asciiTheme="minorEastAsia" w:hAnsiTheme="minorEastAsia"/>
                <w:sz w:val="21"/>
                <w:szCs w:val="21"/>
              </w:rPr>
            </w:pPr>
            <w:r>
              <w:rPr>
                <w:rFonts w:hint="eastAsia" w:ascii="宋体" w:hAnsi="宋体" w:cs="Times New Roman"/>
                <w:sz w:val="21"/>
                <w:szCs w:val="21"/>
              </w:rPr>
              <w:t>15、采用集中式授权管理，通过一个U-key设备对多个教室的电子教学软件进行授权，简化运维；</w:t>
            </w:r>
          </w:p>
        </w:tc>
      </w:tr>
      <w:tr w14:paraId="2369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62" w:type="dxa"/>
            <w:tcBorders>
              <w:tl2br w:val="nil"/>
              <w:tr2bl w:val="nil"/>
            </w:tcBorders>
            <w:vAlign w:val="center"/>
          </w:tcPr>
          <w:p w14:paraId="37E43DBF">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Times New Roman"/>
                <w:sz w:val="21"/>
                <w:szCs w:val="21"/>
                <w:lang w:val="en-US" w:eastAsia="zh-CN"/>
              </w:rPr>
            </w:pPr>
            <w:r>
              <w:rPr>
                <w:rFonts w:hint="eastAsia" w:ascii="宋体" w:hAnsi="宋体" w:cs="Times New Roman"/>
                <w:sz w:val="21"/>
                <w:szCs w:val="21"/>
                <w:lang w:val="en-US" w:eastAsia="zh-CN"/>
              </w:rPr>
              <w:t>9</w:t>
            </w:r>
          </w:p>
        </w:tc>
        <w:tc>
          <w:tcPr>
            <w:tcW w:w="1229" w:type="dxa"/>
            <w:tcBorders>
              <w:tl2br w:val="nil"/>
              <w:tr2bl w:val="nil"/>
            </w:tcBorders>
            <w:vAlign w:val="center"/>
          </w:tcPr>
          <w:p w14:paraId="625BDA0B">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Times New Roman"/>
                <w:sz w:val="21"/>
                <w:szCs w:val="21"/>
              </w:rPr>
            </w:pPr>
            <w:r>
              <w:rPr>
                <w:rFonts w:hint="eastAsia" w:ascii="宋体" w:hAnsi="宋体" w:cs="Times New Roman"/>
                <w:sz w:val="21"/>
                <w:szCs w:val="21"/>
                <w:lang w:val="en-US" w:eastAsia="zh-CN"/>
              </w:rPr>
              <w:t>48口汇聚交换机</w:t>
            </w:r>
          </w:p>
        </w:tc>
        <w:tc>
          <w:tcPr>
            <w:tcW w:w="455" w:type="dxa"/>
            <w:tcBorders>
              <w:tl2br w:val="nil"/>
              <w:tr2bl w:val="nil"/>
            </w:tcBorders>
            <w:vAlign w:val="center"/>
          </w:tcPr>
          <w:p w14:paraId="5CD96D67">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Times New Roman"/>
                <w:sz w:val="21"/>
                <w:szCs w:val="21"/>
                <w:lang w:val="en-US" w:eastAsia="zh-CN"/>
              </w:rPr>
            </w:pPr>
            <w:r>
              <w:rPr>
                <w:rFonts w:hint="eastAsia" w:ascii="宋体" w:hAnsi="宋体" w:cs="Times New Roman"/>
                <w:sz w:val="21"/>
                <w:szCs w:val="21"/>
                <w:lang w:val="en-US" w:eastAsia="zh-CN"/>
              </w:rPr>
              <w:t>台</w:t>
            </w:r>
          </w:p>
        </w:tc>
        <w:tc>
          <w:tcPr>
            <w:tcW w:w="654" w:type="dxa"/>
            <w:tcBorders>
              <w:tl2br w:val="nil"/>
              <w:tr2bl w:val="nil"/>
            </w:tcBorders>
            <w:vAlign w:val="center"/>
          </w:tcPr>
          <w:p w14:paraId="459A0F18">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Times New Roman"/>
                <w:sz w:val="21"/>
                <w:szCs w:val="21"/>
                <w:lang w:val="en-US" w:eastAsia="zh-CN"/>
              </w:rPr>
            </w:pPr>
            <w:r>
              <w:rPr>
                <w:rFonts w:hint="eastAsia" w:ascii="宋体" w:hAnsi="宋体" w:cs="Times New Roman"/>
                <w:sz w:val="21"/>
                <w:szCs w:val="21"/>
                <w:lang w:val="en-US" w:eastAsia="zh-CN"/>
              </w:rPr>
              <w:t>1</w:t>
            </w:r>
          </w:p>
        </w:tc>
        <w:tc>
          <w:tcPr>
            <w:tcW w:w="7571" w:type="dxa"/>
            <w:tcBorders>
              <w:tl2br w:val="nil"/>
              <w:tr2bl w:val="nil"/>
            </w:tcBorders>
            <w:vAlign w:val="center"/>
          </w:tcPr>
          <w:p w14:paraId="26674B2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 48 个 10/100/1000BASE-T 以太网端口，4 个万兆光口，交流供电；</w:t>
            </w:r>
          </w:p>
          <w:p w14:paraId="524AE60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2、包转发率：144/166Mpps；</w:t>
            </w:r>
          </w:p>
          <w:p w14:paraId="2B8F7DA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cs="Times New Roman" w:asciiTheme="minorEastAsia" w:hAnsiTheme="minorEastAsia"/>
                <w:sz w:val="21"/>
                <w:szCs w:val="21"/>
              </w:rPr>
            </w:pPr>
            <w:r>
              <w:rPr>
                <w:rFonts w:hint="eastAsia" w:ascii="宋体" w:hAnsi="宋体" w:cs="Times New Roman"/>
                <w:sz w:val="21"/>
                <w:szCs w:val="21"/>
              </w:rPr>
              <w:t>3、交换容量：432Gbps/4.32Tbps；</w:t>
            </w:r>
          </w:p>
        </w:tc>
      </w:tr>
      <w:tr w14:paraId="00291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62" w:type="dxa"/>
            <w:tcBorders>
              <w:tl2br w:val="nil"/>
              <w:tr2bl w:val="nil"/>
            </w:tcBorders>
            <w:vAlign w:val="center"/>
          </w:tcPr>
          <w:p w14:paraId="4CB465D7">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Times New Roman"/>
                <w:sz w:val="21"/>
                <w:szCs w:val="21"/>
                <w:lang w:val="en-US" w:eastAsia="zh-CN"/>
              </w:rPr>
            </w:pPr>
            <w:r>
              <w:rPr>
                <w:rFonts w:hint="eastAsia" w:ascii="宋体" w:hAnsi="宋体" w:cs="Times New Roman"/>
                <w:sz w:val="21"/>
                <w:szCs w:val="21"/>
                <w:lang w:val="en-US" w:eastAsia="zh-CN"/>
              </w:rPr>
              <w:t>10</w:t>
            </w:r>
          </w:p>
        </w:tc>
        <w:tc>
          <w:tcPr>
            <w:tcW w:w="1229" w:type="dxa"/>
            <w:tcBorders>
              <w:tl2br w:val="nil"/>
              <w:tr2bl w:val="nil"/>
            </w:tcBorders>
            <w:vAlign w:val="center"/>
          </w:tcPr>
          <w:p w14:paraId="7B6BB84B">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Times New Roman"/>
                <w:sz w:val="21"/>
                <w:szCs w:val="21"/>
              </w:rPr>
            </w:pPr>
            <w:r>
              <w:rPr>
                <w:rFonts w:hint="eastAsia" w:ascii="宋体" w:hAnsi="宋体" w:cs="Times New Roman"/>
                <w:sz w:val="21"/>
                <w:szCs w:val="21"/>
                <w:lang w:val="en-US" w:eastAsia="zh-CN"/>
              </w:rPr>
              <w:t>48口接入交换机</w:t>
            </w:r>
          </w:p>
        </w:tc>
        <w:tc>
          <w:tcPr>
            <w:tcW w:w="455" w:type="dxa"/>
            <w:tcBorders>
              <w:tl2br w:val="nil"/>
              <w:tr2bl w:val="nil"/>
            </w:tcBorders>
            <w:vAlign w:val="center"/>
          </w:tcPr>
          <w:p w14:paraId="267AF5BA">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Times New Roman"/>
                <w:sz w:val="21"/>
                <w:szCs w:val="21"/>
                <w:lang w:val="en-US" w:eastAsia="zh-CN"/>
              </w:rPr>
            </w:pPr>
            <w:r>
              <w:rPr>
                <w:rFonts w:hint="eastAsia" w:ascii="宋体" w:hAnsi="宋体" w:cs="Times New Roman"/>
                <w:sz w:val="21"/>
                <w:szCs w:val="21"/>
                <w:lang w:val="en-US" w:eastAsia="zh-CN"/>
              </w:rPr>
              <w:t>台</w:t>
            </w:r>
          </w:p>
        </w:tc>
        <w:tc>
          <w:tcPr>
            <w:tcW w:w="654" w:type="dxa"/>
            <w:tcBorders>
              <w:tl2br w:val="nil"/>
              <w:tr2bl w:val="nil"/>
            </w:tcBorders>
            <w:vAlign w:val="center"/>
          </w:tcPr>
          <w:p w14:paraId="2B5B2B1E">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Times New Roman"/>
                <w:sz w:val="21"/>
                <w:szCs w:val="21"/>
                <w:lang w:val="en-US" w:eastAsia="zh-CN"/>
              </w:rPr>
            </w:pPr>
            <w:r>
              <w:rPr>
                <w:rFonts w:hint="eastAsia" w:ascii="宋体" w:hAnsi="宋体" w:cs="Times New Roman"/>
                <w:sz w:val="21"/>
                <w:szCs w:val="21"/>
                <w:lang w:val="en-US" w:eastAsia="zh-CN"/>
              </w:rPr>
              <w:t>2</w:t>
            </w:r>
          </w:p>
        </w:tc>
        <w:tc>
          <w:tcPr>
            <w:tcW w:w="7571" w:type="dxa"/>
            <w:tcBorders>
              <w:tl2br w:val="nil"/>
              <w:tr2bl w:val="nil"/>
            </w:tcBorders>
            <w:vAlign w:val="center"/>
          </w:tcPr>
          <w:p w14:paraId="06D5AB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 48 个 10/100/1000BASE-T 以太网端口，4个千兆SFP，交流供电；</w:t>
            </w:r>
          </w:p>
          <w:p w14:paraId="76F1B0A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2、包转发率：132/166 Mpps；</w:t>
            </w:r>
          </w:p>
          <w:p w14:paraId="4454BA1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cs="Times New Roman" w:asciiTheme="minorEastAsia" w:hAnsiTheme="minorEastAsia"/>
                <w:sz w:val="21"/>
                <w:szCs w:val="21"/>
              </w:rPr>
            </w:pPr>
            <w:r>
              <w:rPr>
                <w:rFonts w:hint="eastAsia" w:ascii="宋体" w:hAnsi="宋体" w:cs="Times New Roman"/>
                <w:sz w:val="21"/>
                <w:szCs w:val="21"/>
              </w:rPr>
              <w:t>3、交换容量：432Gbps/4.32Tbps；</w:t>
            </w:r>
          </w:p>
        </w:tc>
      </w:tr>
      <w:tr w14:paraId="0F076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62" w:type="dxa"/>
            <w:tcBorders>
              <w:tl2br w:val="nil"/>
              <w:tr2bl w:val="nil"/>
            </w:tcBorders>
            <w:vAlign w:val="center"/>
          </w:tcPr>
          <w:p w14:paraId="11B0511A">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Times New Roman"/>
                <w:sz w:val="21"/>
                <w:szCs w:val="21"/>
                <w:lang w:val="en-US" w:eastAsia="zh-CN"/>
              </w:rPr>
            </w:pPr>
            <w:r>
              <w:rPr>
                <w:rFonts w:hint="eastAsia" w:ascii="宋体" w:hAnsi="宋体" w:cs="Times New Roman"/>
                <w:sz w:val="21"/>
                <w:szCs w:val="21"/>
                <w:lang w:val="en-US" w:eastAsia="zh-CN"/>
              </w:rPr>
              <w:t>11</w:t>
            </w:r>
          </w:p>
        </w:tc>
        <w:tc>
          <w:tcPr>
            <w:tcW w:w="1229" w:type="dxa"/>
            <w:tcBorders>
              <w:tl2br w:val="nil"/>
              <w:tr2bl w:val="nil"/>
            </w:tcBorders>
            <w:vAlign w:val="center"/>
          </w:tcPr>
          <w:p w14:paraId="47FC514E">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Times New Roman"/>
                <w:sz w:val="21"/>
                <w:szCs w:val="21"/>
              </w:rPr>
            </w:pPr>
            <w:r>
              <w:rPr>
                <w:rFonts w:hint="eastAsia" w:ascii="宋体" w:hAnsi="宋体" w:cs="Times New Roman"/>
                <w:sz w:val="21"/>
                <w:szCs w:val="21"/>
                <w:lang w:val="en-US" w:eastAsia="zh-CN"/>
              </w:rPr>
              <w:t>网络机柜</w:t>
            </w:r>
          </w:p>
        </w:tc>
        <w:tc>
          <w:tcPr>
            <w:tcW w:w="455" w:type="dxa"/>
            <w:tcBorders>
              <w:tl2br w:val="nil"/>
              <w:tr2bl w:val="nil"/>
            </w:tcBorders>
            <w:vAlign w:val="center"/>
          </w:tcPr>
          <w:p w14:paraId="3188E91E">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Times New Roman"/>
                <w:sz w:val="21"/>
                <w:szCs w:val="21"/>
                <w:lang w:val="en-US" w:eastAsia="zh-CN"/>
              </w:rPr>
            </w:pPr>
            <w:r>
              <w:rPr>
                <w:rFonts w:hint="eastAsia" w:ascii="宋体" w:hAnsi="宋体" w:cs="Times New Roman"/>
                <w:sz w:val="21"/>
                <w:szCs w:val="21"/>
                <w:lang w:val="en-US" w:eastAsia="zh-CN"/>
              </w:rPr>
              <w:t>台</w:t>
            </w:r>
          </w:p>
        </w:tc>
        <w:tc>
          <w:tcPr>
            <w:tcW w:w="654" w:type="dxa"/>
            <w:tcBorders>
              <w:tl2br w:val="nil"/>
              <w:tr2bl w:val="nil"/>
            </w:tcBorders>
            <w:vAlign w:val="center"/>
          </w:tcPr>
          <w:p w14:paraId="33E6F08F">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Times New Roman"/>
                <w:sz w:val="21"/>
                <w:szCs w:val="21"/>
                <w:lang w:val="en-US" w:eastAsia="zh-CN"/>
              </w:rPr>
            </w:pPr>
            <w:r>
              <w:rPr>
                <w:rFonts w:hint="eastAsia" w:ascii="宋体" w:hAnsi="宋体" w:cs="Times New Roman"/>
                <w:sz w:val="21"/>
                <w:szCs w:val="21"/>
                <w:lang w:val="en-US" w:eastAsia="zh-CN"/>
              </w:rPr>
              <w:t>1</w:t>
            </w:r>
          </w:p>
        </w:tc>
        <w:tc>
          <w:tcPr>
            <w:tcW w:w="7571" w:type="dxa"/>
            <w:tcBorders>
              <w:tl2br w:val="nil"/>
              <w:tr2bl w:val="nil"/>
            </w:tcBorders>
            <w:vAlign w:val="center"/>
          </w:tcPr>
          <w:p w14:paraId="3B66718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cs="Times New Roman" w:asciiTheme="minorEastAsia" w:hAnsiTheme="minorEastAsia"/>
                <w:sz w:val="21"/>
                <w:szCs w:val="21"/>
              </w:rPr>
            </w:pPr>
            <w:r>
              <w:rPr>
                <w:rFonts w:hint="eastAsia" w:ascii="宋体" w:hAnsi="宋体" w:cs="Times New Roman"/>
                <w:sz w:val="21"/>
                <w:szCs w:val="21"/>
              </w:rPr>
              <w:t>22U标准网络机柜</w:t>
            </w:r>
          </w:p>
        </w:tc>
      </w:tr>
      <w:tr w14:paraId="03D9D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62" w:type="dxa"/>
            <w:tcBorders>
              <w:tl2br w:val="nil"/>
              <w:tr2bl w:val="nil"/>
            </w:tcBorders>
            <w:vAlign w:val="center"/>
          </w:tcPr>
          <w:p w14:paraId="626711AF">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Times New Roman"/>
                <w:sz w:val="21"/>
                <w:szCs w:val="21"/>
                <w:lang w:val="en-US" w:eastAsia="zh-CN"/>
              </w:rPr>
            </w:pPr>
            <w:r>
              <w:rPr>
                <w:rFonts w:hint="eastAsia" w:ascii="宋体" w:hAnsi="宋体" w:cs="Times New Roman"/>
                <w:sz w:val="21"/>
                <w:szCs w:val="21"/>
                <w:lang w:val="en-US" w:eastAsia="zh-CN"/>
              </w:rPr>
              <w:t>12</w:t>
            </w:r>
          </w:p>
        </w:tc>
        <w:tc>
          <w:tcPr>
            <w:tcW w:w="1229" w:type="dxa"/>
            <w:tcBorders>
              <w:tl2br w:val="nil"/>
              <w:tr2bl w:val="nil"/>
            </w:tcBorders>
            <w:vAlign w:val="center"/>
          </w:tcPr>
          <w:p w14:paraId="66343530">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Times New Roman"/>
                <w:sz w:val="21"/>
                <w:szCs w:val="21"/>
              </w:rPr>
            </w:pPr>
            <w:r>
              <w:rPr>
                <w:rFonts w:hint="eastAsia" w:ascii="宋体" w:hAnsi="宋体" w:cs="Times New Roman"/>
                <w:sz w:val="21"/>
                <w:szCs w:val="21"/>
                <w:lang w:val="en-US" w:eastAsia="zh-CN"/>
              </w:rPr>
              <w:t>一体化均衡声场扩声系统</w:t>
            </w:r>
          </w:p>
        </w:tc>
        <w:tc>
          <w:tcPr>
            <w:tcW w:w="455" w:type="dxa"/>
            <w:tcBorders>
              <w:tl2br w:val="nil"/>
              <w:tr2bl w:val="nil"/>
            </w:tcBorders>
            <w:vAlign w:val="center"/>
          </w:tcPr>
          <w:p w14:paraId="4A679654">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Times New Roman"/>
                <w:sz w:val="21"/>
                <w:szCs w:val="21"/>
                <w:lang w:val="en-US" w:eastAsia="zh-CN"/>
              </w:rPr>
            </w:pPr>
            <w:r>
              <w:rPr>
                <w:rFonts w:hint="eastAsia" w:ascii="宋体" w:hAnsi="宋体" w:cs="Times New Roman"/>
                <w:sz w:val="21"/>
                <w:szCs w:val="21"/>
                <w:lang w:val="en-US" w:eastAsia="zh-CN"/>
              </w:rPr>
              <w:t>套</w:t>
            </w:r>
          </w:p>
        </w:tc>
        <w:tc>
          <w:tcPr>
            <w:tcW w:w="654" w:type="dxa"/>
            <w:tcBorders>
              <w:tl2br w:val="nil"/>
              <w:tr2bl w:val="nil"/>
            </w:tcBorders>
            <w:vAlign w:val="center"/>
          </w:tcPr>
          <w:p w14:paraId="48762826">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Times New Roman"/>
                <w:sz w:val="21"/>
                <w:szCs w:val="21"/>
                <w:lang w:val="en-US" w:eastAsia="zh-CN"/>
              </w:rPr>
            </w:pPr>
            <w:r>
              <w:rPr>
                <w:rFonts w:hint="eastAsia" w:ascii="宋体" w:hAnsi="宋体" w:cs="Times New Roman"/>
                <w:sz w:val="21"/>
                <w:szCs w:val="21"/>
                <w:lang w:val="en-US" w:eastAsia="zh-CN"/>
              </w:rPr>
              <w:t>2</w:t>
            </w:r>
          </w:p>
        </w:tc>
        <w:tc>
          <w:tcPr>
            <w:tcW w:w="7571" w:type="dxa"/>
            <w:tcBorders>
              <w:tl2br w:val="nil"/>
              <w:tr2bl w:val="nil"/>
            </w:tcBorders>
            <w:vAlign w:val="center"/>
          </w:tcPr>
          <w:p w14:paraId="4C84964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1、每套一体化均衡声场扩声系统需包含1个教学级专业扩声音箱和1个无线手持麦克风。</w:t>
            </w:r>
          </w:p>
          <w:p w14:paraId="180611F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2、采用低压恒流驱动，安全可靠，耗电少，寿命长，支持通过输入接口连接多种外部音源。</w:t>
            </w:r>
          </w:p>
          <w:p w14:paraId="0678F6C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*3、支持模拟音频输入、蓝牙音频输入、无线麦克风音频输入；（提供第三方检测机构出具的产品合格检测报告复印件并加盖厂家公章）</w:t>
            </w:r>
          </w:p>
          <w:p w14:paraId="3EBA1AC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*4、整机最大功率不大于60W，扬声器数量不少于6个，1m处最大声压级不低于98dB@1KHz&amp;1m，有效频率范围115Hz-20KHz；（提供第三方检测机构出具的产品合格检测报告复印件并加盖厂家公章）</w:t>
            </w:r>
          </w:p>
          <w:p w14:paraId="58FE269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*5、教室使用场所内各学生座位测量点的稳态声压级最大值与最小值差值范围为±2dB；（提供第三方检测机构出具的产品合格检测报告复印件并加盖厂家公章）</w:t>
            </w:r>
          </w:p>
          <w:p w14:paraId="58B55F9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6、整机重量不大于5Kg，电源电压：AC220V；</w:t>
            </w:r>
          </w:p>
          <w:p w14:paraId="0B8C39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7、产品腔体为木质结构，保障高品质音效；</w:t>
            </w:r>
          </w:p>
          <w:p w14:paraId="0AEAD2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*8、配套APP技术参数：（提供第三方检测机构出具的产品合格检测报告复印件并加盖厂家公章）</w:t>
            </w:r>
          </w:p>
          <w:p w14:paraId="68A4E88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（1）支持角度设置，上下角度-30°至30°可调；通过调节发声角度适用于不同环境的声场均衡；</w:t>
            </w:r>
          </w:p>
          <w:p w14:paraId="0685B4D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（2）支持清晰度设置，支持语音正常、清晰、超清晰调节；</w:t>
            </w:r>
          </w:p>
          <w:p w14:paraId="4FF6EDB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（3）支持啸叫抑制设置，可对啸叫进行高、中、低三档抑制调节；</w:t>
            </w:r>
          </w:p>
          <w:p w14:paraId="3998FA0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（4）支持设备固件升级，通过APP可一键升级固件；</w:t>
            </w:r>
          </w:p>
          <w:p w14:paraId="6A0BA1F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（5）支持音效算法升级，可在线一键升级音效算法版本；</w:t>
            </w:r>
          </w:p>
          <w:p w14:paraId="66C6565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（6）支持在线修改名称、扬声器检测，可单独检测每个扬声器声音是否正常；</w:t>
            </w:r>
          </w:p>
          <w:p w14:paraId="21C1A0A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9、无线麦克风对频距离低于2m可自动与音箱对频；</w:t>
            </w:r>
          </w:p>
          <w:p w14:paraId="4695E5F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10、能手动调节无线麦克风音量，从而控制音箱音量；</w:t>
            </w:r>
          </w:p>
          <w:p w14:paraId="76430F2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11、无线麦克风充满电后，连续工作时间不小于6H；</w:t>
            </w:r>
          </w:p>
          <w:p w14:paraId="19FEC5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*12、无线最大传输距离不低于10m；（提供第三方检测机构出具的产品合格检测报告复印件并加盖厂家公章）</w:t>
            </w:r>
          </w:p>
          <w:p w14:paraId="7ACCE6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13、无线麦克风支持一键静音功能；</w:t>
            </w:r>
          </w:p>
          <w:p w14:paraId="029294E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14、带有屏幕可显示无线麦克风调节音量；</w:t>
            </w:r>
          </w:p>
          <w:p w14:paraId="1263344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cs="Times New Roman" w:asciiTheme="minorEastAsia" w:hAnsiTheme="minorEastAsia"/>
                <w:sz w:val="21"/>
                <w:szCs w:val="21"/>
              </w:rPr>
            </w:pPr>
            <w:r>
              <w:rPr>
                <w:rFonts w:hint="eastAsia" w:ascii="宋体" w:hAnsi="宋体" w:cs="Times New Roman"/>
                <w:sz w:val="21"/>
                <w:szCs w:val="21"/>
              </w:rPr>
              <w:t>*15、为方便售后服务，需提供制造商厂商针对本项目三年免费售后服务承诺函并加盖厂商公章；</w:t>
            </w:r>
          </w:p>
        </w:tc>
      </w:tr>
      <w:tr w14:paraId="47F54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62" w:type="dxa"/>
            <w:tcBorders>
              <w:tl2br w:val="nil"/>
              <w:tr2bl w:val="nil"/>
            </w:tcBorders>
            <w:vAlign w:val="center"/>
          </w:tcPr>
          <w:p w14:paraId="7698A9E2">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Times New Roman"/>
                <w:sz w:val="21"/>
                <w:szCs w:val="21"/>
                <w:lang w:val="en-US" w:eastAsia="zh-CN"/>
              </w:rPr>
            </w:pPr>
            <w:r>
              <w:rPr>
                <w:rFonts w:hint="eastAsia" w:ascii="宋体" w:hAnsi="宋体" w:cs="Times New Roman"/>
                <w:sz w:val="21"/>
                <w:szCs w:val="21"/>
                <w:lang w:val="en-US" w:eastAsia="zh-CN"/>
              </w:rPr>
              <w:t>13</w:t>
            </w:r>
          </w:p>
        </w:tc>
        <w:tc>
          <w:tcPr>
            <w:tcW w:w="1229" w:type="dxa"/>
            <w:tcBorders>
              <w:tl2br w:val="nil"/>
              <w:tr2bl w:val="nil"/>
            </w:tcBorders>
            <w:vAlign w:val="center"/>
          </w:tcPr>
          <w:p w14:paraId="07393595">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Times New Roman"/>
                <w:sz w:val="21"/>
                <w:szCs w:val="21"/>
              </w:rPr>
            </w:pPr>
            <w:r>
              <w:rPr>
                <w:rFonts w:hint="eastAsia" w:ascii="宋体" w:hAnsi="宋体" w:cs="Times New Roman"/>
                <w:sz w:val="21"/>
                <w:szCs w:val="21"/>
                <w:lang w:val="en-US" w:eastAsia="zh-CN"/>
              </w:rPr>
              <w:t>电视机</w:t>
            </w:r>
          </w:p>
        </w:tc>
        <w:tc>
          <w:tcPr>
            <w:tcW w:w="455" w:type="dxa"/>
            <w:tcBorders>
              <w:tl2br w:val="nil"/>
              <w:tr2bl w:val="nil"/>
            </w:tcBorders>
            <w:vAlign w:val="center"/>
          </w:tcPr>
          <w:p w14:paraId="405260AA">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Times New Roman"/>
                <w:sz w:val="21"/>
                <w:szCs w:val="21"/>
                <w:lang w:val="en-US" w:eastAsia="zh-CN"/>
              </w:rPr>
            </w:pPr>
            <w:r>
              <w:rPr>
                <w:rFonts w:hint="eastAsia" w:ascii="宋体" w:hAnsi="宋体" w:cs="Times New Roman"/>
                <w:sz w:val="21"/>
                <w:szCs w:val="21"/>
                <w:lang w:val="en-US" w:eastAsia="zh-CN"/>
              </w:rPr>
              <w:t>个</w:t>
            </w:r>
          </w:p>
        </w:tc>
        <w:tc>
          <w:tcPr>
            <w:tcW w:w="654" w:type="dxa"/>
            <w:tcBorders>
              <w:tl2br w:val="nil"/>
              <w:tr2bl w:val="nil"/>
            </w:tcBorders>
            <w:vAlign w:val="center"/>
          </w:tcPr>
          <w:p w14:paraId="76CBC56B">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Times New Roman"/>
                <w:sz w:val="21"/>
                <w:szCs w:val="21"/>
                <w:lang w:val="en-US" w:eastAsia="zh-CN"/>
              </w:rPr>
            </w:pPr>
            <w:r>
              <w:rPr>
                <w:rFonts w:hint="eastAsia" w:ascii="宋体" w:hAnsi="宋体" w:cs="Times New Roman"/>
                <w:sz w:val="21"/>
                <w:szCs w:val="21"/>
                <w:lang w:val="en-US" w:eastAsia="zh-CN"/>
              </w:rPr>
              <w:t>2</w:t>
            </w:r>
          </w:p>
        </w:tc>
        <w:tc>
          <w:tcPr>
            <w:tcW w:w="7571" w:type="dxa"/>
            <w:tcBorders>
              <w:tl2br w:val="nil"/>
              <w:tr2bl w:val="nil"/>
            </w:tcBorders>
            <w:vAlign w:val="center"/>
          </w:tcPr>
          <w:p w14:paraId="41A905B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1、尺寸：高清4K 65英寸LED；</w:t>
            </w:r>
          </w:p>
          <w:p w14:paraId="4B09B2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2、运行内存：≥2G；存储≥32G；</w:t>
            </w:r>
          </w:p>
          <w:p w14:paraId="56C80E4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3、屏幕比例：16:9；</w:t>
            </w:r>
          </w:p>
          <w:p w14:paraId="3F74E54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cs="Times New Roman" w:asciiTheme="minorEastAsia" w:hAnsiTheme="minorEastAsia"/>
                <w:sz w:val="21"/>
                <w:szCs w:val="21"/>
              </w:rPr>
            </w:pPr>
            <w:r>
              <w:rPr>
                <w:rFonts w:hint="eastAsia" w:ascii="宋体" w:hAnsi="宋体" w:cs="Times New Roman"/>
                <w:sz w:val="21"/>
                <w:szCs w:val="21"/>
              </w:rPr>
              <w:t>4、含</w:t>
            </w:r>
            <w:r>
              <w:rPr>
                <w:rFonts w:hint="eastAsia" w:ascii="宋体" w:hAnsi="宋体" w:cs="Times New Roman"/>
                <w:sz w:val="21"/>
                <w:szCs w:val="21"/>
                <w:lang w:val="en-US" w:eastAsia="zh-CN"/>
              </w:rPr>
              <w:t>吊装</w:t>
            </w:r>
            <w:r>
              <w:rPr>
                <w:rFonts w:hint="eastAsia" w:ascii="宋体" w:hAnsi="宋体" w:cs="Times New Roman"/>
                <w:sz w:val="21"/>
                <w:szCs w:val="21"/>
              </w:rPr>
              <w:t>支架，包安装；</w:t>
            </w:r>
          </w:p>
        </w:tc>
      </w:tr>
      <w:tr w14:paraId="7742C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62" w:type="dxa"/>
            <w:tcBorders>
              <w:tl2br w:val="nil"/>
              <w:tr2bl w:val="nil"/>
            </w:tcBorders>
            <w:vAlign w:val="center"/>
          </w:tcPr>
          <w:p w14:paraId="02FEF551">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Times New Roman"/>
                <w:sz w:val="21"/>
                <w:szCs w:val="21"/>
                <w:lang w:val="en-US" w:eastAsia="zh-CN"/>
              </w:rPr>
            </w:pPr>
            <w:r>
              <w:rPr>
                <w:rFonts w:hint="eastAsia" w:ascii="宋体" w:hAnsi="宋体" w:cs="Times New Roman"/>
                <w:sz w:val="21"/>
                <w:szCs w:val="21"/>
                <w:lang w:val="en-US" w:eastAsia="zh-CN"/>
              </w:rPr>
              <w:t>14</w:t>
            </w:r>
          </w:p>
        </w:tc>
        <w:tc>
          <w:tcPr>
            <w:tcW w:w="1229" w:type="dxa"/>
            <w:tcBorders>
              <w:tl2br w:val="nil"/>
              <w:tr2bl w:val="nil"/>
            </w:tcBorders>
            <w:vAlign w:val="center"/>
          </w:tcPr>
          <w:p w14:paraId="7320D202">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Times New Roman"/>
                <w:sz w:val="21"/>
                <w:szCs w:val="21"/>
              </w:rPr>
            </w:pPr>
            <w:r>
              <w:rPr>
                <w:rFonts w:hint="eastAsia" w:ascii="宋体" w:hAnsi="宋体" w:cs="Times New Roman"/>
                <w:sz w:val="21"/>
                <w:szCs w:val="21"/>
                <w:lang w:val="en-US" w:eastAsia="zh-CN"/>
              </w:rPr>
              <w:t>综合布线</w:t>
            </w:r>
          </w:p>
        </w:tc>
        <w:tc>
          <w:tcPr>
            <w:tcW w:w="455" w:type="dxa"/>
            <w:tcBorders>
              <w:tl2br w:val="nil"/>
              <w:tr2bl w:val="nil"/>
            </w:tcBorders>
            <w:vAlign w:val="center"/>
          </w:tcPr>
          <w:p w14:paraId="7D92B558">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Times New Roman"/>
                <w:sz w:val="21"/>
                <w:szCs w:val="21"/>
                <w:lang w:val="en-US" w:eastAsia="zh-CN"/>
              </w:rPr>
            </w:pPr>
            <w:r>
              <w:rPr>
                <w:rFonts w:hint="eastAsia" w:ascii="宋体" w:hAnsi="宋体" w:cs="Times New Roman"/>
                <w:sz w:val="21"/>
                <w:szCs w:val="21"/>
                <w:lang w:val="en-US" w:eastAsia="zh-CN"/>
              </w:rPr>
              <w:t>项</w:t>
            </w:r>
          </w:p>
        </w:tc>
        <w:tc>
          <w:tcPr>
            <w:tcW w:w="654" w:type="dxa"/>
            <w:tcBorders>
              <w:tl2br w:val="nil"/>
              <w:tr2bl w:val="nil"/>
            </w:tcBorders>
            <w:vAlign w:val="center"/>
          </w:tcPr>
          <w:p w14:paraId="392EFF47">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Times New Roman"/>
                <w:sz w:val="21"/>
                <w:szCs w:val="21"/>
                <w:lang w:val="en-US" w:eastAsia="zh-CN"/>
              </w:rPr>
            </w:pPr>
            <w:r>
              <w:rPr>
                <w:rFonts w:hint="eastAsia" w:ascii="宋体" w:hAnsi="宋体" w:cs="Times New Roman"/>
                <w:sz w:val="21"/>
                <w:szCs w:val="21"/>
                <w:lang w:val="en-US" w:eastAsia="zh-CN"/>
              </w:rPr>
              <w:t>1</w:t>
            </w:r>
          </w:p>
        </w:tc>
        <w:tc>
          <w:tcPr>
            <w:tcW w:w="7571" w:type="dxa"/>
            <w:tcBorders>
              <w:tl2br w:val="nil"/>
              <w:tr2bl w:val="nil"/>
            </w:tcBorders>
            <w:vAlign w:val="center"/>
          </w:tcPr>
          <w:p w14:paraId="5C04336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1、包含机房内所有设备的强弱电布线及安装调试；</w:t>
            </w:r>
          </w:p>
          <w:p w14:paraId="4D3599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2、网线需采用六类网线，综合布线含网线、电线、光纤跳线等主材，含线管、线槽等辅材；</w:t>
            </w:r>
          </w:p>
          <w:p w14:paraId="6218A8F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3、各种管材的规格、型号应符合国家规范要求；</w:t>
            </w:r>
          </w:p>
          <w:p w14:paraId="3032757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4、预埋金属线槽，线槽的布局应横平竖直，避免斜线，便于维护；</w:t>
            </w:r>
          </w:p>
          <w:p w14:paraId="35CFB87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Times New Roman"/>
                <w:sz w:val="21"/>
                <w:szCs w:val="21"/>
              </w:rPr>
            </w:pPr>
            <w:r>
              <w:rPr>
                <w:rFonts w:hint="eastAsia" w:ascii="宋体" w:hAnsi="宋体" w:cs="Times New Roman"/>
                <w:sz w:val="21"/>
                <w:szCs w:val="21"/>
              </w:rPr>
              <w:t>5、布线要整洁、规范，并做好两端标志；</w:t>
            </w:r>
          </w:p>
          <w:p w14:paraId="6AE535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cs="Times New Roman" w:asciiTheme="minorEastAsia" w:hAnsiTheme="minorEastAsia"/>
                <w:sz w:val="21"/>
                <w:szCs w:val="21"/>
              </w:rPr>
            </w:pPr>
            <w:r>
              <w:rPr>
                <w:rFonts w:hint="eastAsia" w:ascii="宋体" w:hAnsi="宋体" w:cs="Times New Roman"/>
                <w:sz w:val="21"/>
                <w:szCs w:val="21"/>
              </w:rPr>
              <w:t>6、教师工位布两个信息点，每个学生工位布一个信息点,共计122点位；</w:t>
            </w:r>
          </w:p>
        </w:tc>
      </w:tr>
    </w:tbl>
    <w:p w14:paraId="676D56D9">
      <w:pPr>
        <w:widowControl/>
        <w:shd w:val="clear" w:color="auto" w:fill="FFFFFF"/>
        <w:spacing w:line="360" w:lineRule="auto"/>
        <w:jc w:val="left"/>
        <w:rPr>
          <w:rFonts w:hint="eastAsia" w:ascii="宋体" w:hAnsi="宋体" w:cs="Arial"/>
          <w:b/>
          <w:color w:val="333333"/>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857C643-D633-452C-AE86-D0AE221956AB}"/>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jZWU5ZDY4NWE0NzVkODJmMTE0MjUyOWYzYzIzMzcifQ=="/>
  </w:docVars>
  <w:rsids>
    <w:rsidRoot w:val="79E60680"/>
    <w:rsid w:val="00004CFF"/>
    <w:rsid w:val="00020F3A"/>
    <w:rsid w:val="00072511"/>
    <w:rsid w:val="000B2A78"/>
    <w:rsid w:val="000F5E8B"/>
    <w:rsid w:val="00106776"/>
    <w:rsid w:val="0015791C"/>
    <w:rsid w:val="00163AC5"/>
    <w:rsid w:val="00183E4D"/>
    <w:rsid w:val="001D4F27"/>
    <w:rsid w:val="00240F07"/>
    <w:rsid w:val="00283FE9"/>
    <w:rsid w:val="002866A3"/>
    <w:rsid w:val="002968FB"/>
    <w:rsid w:val="002A62C9"/>
    <w:rsid w:val="002B1AFC"/>
    <w:rsid w:val="00325C92"/>
    <w:rsid w:val="0033001B"/>
    <w:rsid w:val="003566AF"/>
    <w:rsid w:val="003808EA"/>
    <w:rsid w:val="003C344A"/>
    <w:rsid w:val="003F29D7"/>
    <w:rsid w:val="00425A1E"/>
    <w:rsid w:val="00430634"/>
    <w:rsid w:val="004611E7"/>
    <w:rsid w:val="00472E6F"/>
    <w:rsid w:val="004B72FC"/>
    <w:rsid w:val="004F3B57"/>
    <w:rsid w:val="00557A95"/>
    <w:rsid w:val="00564925"/>
    <w:rsid w:val="005E045C"/>
    <w:rsid w:val="00602DCB"/>
    <w:rsid w:val="006228BB"/>
    <w:rsid w:val="0066618B"/>
    <w:rsid w:val="006B2A08"/>
    <w:rsid w:val="006F3EDF"/>
    <w:rsid w:val="007222D3"/>
    <w:rsid w:val="00800C8E"/>
    <w:rsid w:val="00810583"/>
    <w:rsid w:val="00815EEB"/>
    <w:rsid w:val="00856868"/>
    <w:rsid w:val="00982982"/>
    <w:rsid w:val="009D25D1"/>
    <w:rsid w:val="00A374EE"/>
    <w:rsid w:val="00A824C1"/>
    <w:rsid w:val="00AC7F08"/>
    <w:rsid w:val="00B023AD"/>
    <w:rsid w:val="00BA3E98"/>
    <w:rsid w:val="00BF6037"/>
    <w:rsid w:val="00C303F2"/>
    <w:rsid w:val="00C634A6"/>
    <w:rsid w:val="00CA311D"/>
    <w:rsid w:val="00CB5FF2"/>
    <w:rsid w:val="00CD3C6C"/>
    <w:rsid w:val="00D24083"/>
    <w:rsid w:val="00D72D0A"/>
    <w:rsid w:val="00D8639B"/>
    <w:rsid w:val="00DC0C91"/>
    <w:rsid w:val="00E43D12"/>
    <w:rsid w:val="00E74EAE"/>
    <w:rsid w:val="00EA34A7"/>
    <w:rsid w:val="00EB1027"/>
    <w:rsid w:val="00EC40BE"/>
    <w:rsid w:val="00EF4957"/>
    <w:rsid w:val="00F01B79"/>
    <w:rsid w:val="00F20F79"/>
    <w:rsid w:val="00F218CD"/>
    <w:rsid w:val="00F24D10"/>
    <w:rsid w:val="00F266A2"/>
    <w:rsid w:val="00F46177"/>
    <w:rsid w:val="00F468D8"/>
    <w:rsid w:val="00F60EE5"/>
    <w:rsid w:val="00F7198A"/>
    <w:rsid w:val="00F72593"/>
    <w:rsid w:val="00FD1395"/>
    <w:rsid w:val="00FF1765"/>
    <w:rsid w:val="0201499D"/>
    <w:rsid w:val="0F1D38DB"/>
    <w:rsid w:val="10DB11B5"/>
    <w:rsid w:val="125475D4"/>
    <w:rsid w:val="17D10D76"/>
    <w:rsid w:val="1BDB2B53"/>
    <w:rsid w:val="240A633C"/>
    <w:rsid w:val="2B101E2C"/>
    <w:rsid w:val="2F7B4CBE"/>
    <w:rsid w:val="3C414910"/>
    <w:rsid w:val="69750903"/>
    <w:rsid w:val="6E2B2924"/>
    <w:rsid w:val="7695067C"/>
    <w:rsid w:val="79E60680"/>
    <w:rsid w:val="7F062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1"/>
    <w:qFormat/>
    <w:uiPriority w:val="0"/>
    <w:pPr>
      <w:keepNext/>
      <w:keepLines/>
      <w:spacing w:before="260" w:after="260" w:line="416" w:lineRule="auto"/>
      <w:outlineLvl w:val="1"/>
    </w:pPr>
    <w:rPr>
      <w:rFonts w:ascii="Arial" w:hAnsi="Arial" w:eastAsia="黑体" w:cs="Times New Roman"/>
      <w:b/>
      <w:bCs/>
      <w:sz w:val="32"/>
      <w:szCs w:val="32"/>
    </w:rPr>
  </w:style>
  <w:style w:type="paragraph" w:styleId="3">
    <w:name w:val="heading 3"/>
    <w:basedOn w:val="1"/>
    <w:next w:val="1"/>
    <w:autoRedefine/>
    <w:unhideWhenUsed/>
    <w:qFormat/>
    <w:uiPriority w:val="9"/>
    <w:pPr>
      <w:keepNext/>
      <w:keepLines/>
      <w:spacing w:before="260" w:after="260" w:line="416" w:lineRule="auto"/>
      <w:outlineLvl w:val="2"/>
    </w:pPr>
    <w:rPr>
      <w:rFonts w:eastAsia="宋体"/>
      <w:b/>
      <w:bCs/>
      <w:sz w:val="32"/>
      <w:szCs w:val="32"/>
    </w:rPr>
  </w:style>
  <w:style w:type="character" w:default="1" w:styleId="12">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17"/>
    <w:qFormat/>
    <w:uiPriority w:val="0"/>
    <w:pPr>
      <w:jc w:val="left"/>
    </w:pPr>
  </w:style>
  <w:style w:type="paragraph" w:styleId="5">
    <w:name w:val="Body Text Indent"/>
    <w:basedOn w:val="1"/>
    <w:qFormat/>
    <w:uiPriority w:val="0"/>
    <w:pPr>
      <w:spacing w:after="120"/>
      <w:ind w:left="420" w:leftChars="200"/>
    </w:pPr>
  </w:style>
  <w:style w:type="paragraph" w:styleId="6">
    <w:name w:val="Balloon Text"/>
    <w:basedOn w:val="1"/>
    <w:link w:val="19"/>
    <w:qFormat/>
    <w:uiPriority w:val="0"/>
    <w:rPr>
      <w:sz w:val="18"/>
      <w:szCs w:val="18"/>
    </w:rPr>
  </w:style>
  <w:style w:type="paragraph" w:styleId="7">
    <w:name w:val="footer"/>
    <w:basedOn w:val="1"/>
    <w:link w:val="16"/>
    <w:qFormat/>
    <w:uiPriority w:val="0"/>
    <w:pPr>
      <w:tabs>
        <w:tab w:val="center" w:pos="4153"/>
        <w:tab w:val="right" w:pos="8306"/>
      </w:tabs>
      <w:snapToGrid w:val="0"/>
      <w:jc w:val="left"/>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4"/>
    <w:next w:val="4"/>
    <w:link w:val="18"/>
    <w:qFormat/>
    <w:uiPriority w:val="0"/>
    <w:rPr>
      <w:b/>
      <w:bCs/>
    </w:rPr>
  </w:style>
  <w:style w:type="paragraph" w:styleId="10">
    <w:name w:val="Body Text First Indent 2"/>
    <w:basedOn w:val="5"/>
    <w:unhideWhenUsed/>
    <w:qFormat/>
    <w:uiPriority w:val="99"/>
    <w:pPr>
      <w:ind w:firstLine="420" w:firstLineChars="200"/>
    </w:pPr>
  </w:style>
  <w:style w:type="character" w:styleId="13">
    <w:name w:val="annotation reference"/>
    <w:basedOn w:val="12"/>
    <w:qFormat/>
    <w:uiPriority w:val="0"/>
    <w:rPr>
      <w:sz w:val="21"/>
      <w:szCs w:val="21"/>
    </w:rPr>
  </w:style>
  <w:style w:type="paragraph" w:customStyle="1" w:styleId="14">
    <w:name w:val="样式1"/>
    <w:basedOn w:val="1"/>
    <w:qFormat/>
    <w:uiPriority w:val="0"/>
    <w:pPr>
      <w:ind w:firstLine="883" w:firstLineChars="200"/>
    </w:pPr>
    <w:rPr>
      <w:rFonts w:ascii="Calibri" w:hAnsi="Calibri" w:eastAsia="宋体" w:cs="Times New Roman"/>
      <w:sz w:val="30"/>
    </w:rPr>
  </w:style>
  <w:style w:type="character" w:customStyle="1" w:styleId="15">
    <w:name w:val="页眉 字符"/>
    <w:basedOn w:val="12"/>
    <w:link w:val="8"/>
    <w:qFormat/>
    <w:uiPriority w:val="0"/>
    <w:rPr>
      <w:kern w:val="2"/>
      <w:sz w:val="18"/>
      <w:szCs w:val="18"/>
    </w:rPr>
  </w:style>
  <w:style w:type="character" w:customStyle="1" w:styleId="16">
    <w:name w:val="页脚 字符"/>
    <w:basedOn w:val="12"/>
    <w:link w:val="7"/>
    <w:qFormat/>
    <w:uiPriority w:val="0"/>
    <w:rPr>
      <w:kern w:val="2"/>
      <w:sz w:val="18"/>
      <w:szCs w:val="18"/>
    </w:rPr>
  </w:style>
  <w:style w:type="character" w:customStyle="1" w:styleId="17">
    <w:name w:val="批注文字 字符"/>
    <w:basedOn w:val="12"/>
    <w:link w:val="4"/>
    <w:qFormat/>
    <w:uiPriority w:val="0"/>
    <w:rPr>
      <w:kern w:val="2"/>
      <w:sz w:val="21"/>
      <w:szCs w:val="22"/>
    </w:rPr>
  </w:style>
  <w:style w:type="character" w:customStyle="1" w:styleId="18">
    <w:name w:val="批注主题 字符"/>
    <w:basedOn w:val="17"/>
    <w:link w:val="9"/>
    <w:qFormat/>
    <w:uiPriority w:val="0"/>
    <w:rPr>
      <w:b/>
      <w:bCs/>
      <w:kern w:val="2"/>
      <w:sz w:val="21"/>
      <w:szCs w:val="22"/>
    </w:rPr>
  </w:style>
  <w:style w:type="character" w:customStyle="1" w:styleId="19">
    <w:name w:val="批注框文本 字符"/>
    <w:basedOn w:val="12"/>
    <w:link w:val="6"/>
    <w:qFormat/>
    <w:uiPriority w:val="0"/>
    <w:rPr>
      <w:kern w:val="2"/>
      <w:sz w:val="18"/>
      <w:szCs w:val="18"/>
    </w:rPr>
  </w:style>
  <w:style w:type="paragraph" w:styleId="20">
    <w:name w:val="List Paragraph"/>
    <w:basedOn w:val="1"/>
    <w:unhideWhenUsed/>
    <w:qFormat/>
    <w:uiPriority w:val="99"/>
    <w:pPr>
      <w:ind w:firstLine="420" w:firstLineChars="200"/>
    </w:pPr>
  </w:style>
  <w:style w:type="character" w:customStyle="1" w:styleId="21">
    <w:name w:val="标题 2 字符"/>
    <w:basedOn w:val="12"/>
    <w:link w:val="2"/>
    <w:qFormat/>
    <w:uiPriority w:val="0"/>
    <w:rPr>
      <w:rFonts w:ascii="Arial" w:hAnsi="Arial" w:eastAsia="黑体" w:cs="Times New Roman"/>
      <w:b/>
      <w:bCs/>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66451-E7DF-4171-AEE2-B6B1CB8C58A7}">
  <ds:schemaRefs/>
</ds:datastoreItem>
</file>

<file path=docProps/app.xml><?xml version="1.0" encoding="utf-8"?>
<Properties xmlns="http://schemas.openxmlformats.org/officeDocument/2006/extended-properties" xmlns:vt="http://schemas.openxmlformats.org/officeDocument/2006/docPropsVTypes">
  <Template>Normal</Template>
  <Company>Win10_64</Company>
  <Pages>5</Pages>
  <Words>1830</Words>
  <Characters>2108</Characters>
  <Lines>21</Lines>
  <Paragraphs>5</Paragraphs>
  <TotalTime>0</TotalTime>
  <ScaleCrop>false</ScaleCrop>
  <LinksUpToDate>false</LinksUpToDate>
  <CharactersWithSpaces>2114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2023-12-28T03:28:00Z</dcterms:created>
  <dc:creator>裘伟</dc:creator>
  <cp:lastModifiedBy>刘瑞洁</cp:lastModifiedBy>
  <cp:lastPrinted>2026-06-16T01:33:58Z</cp:lastPrinted>
  <dcterms:modified xsi:type="dcterms:W3CDTF">2026-06-16T01:34:06Z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BDBDD9A755E44F8E976DB75CD6BF7E97_11</vt:lpwstr>
  </property>
  <property fmtid="{D5CDD505-2E9C-101B-9397-08002B2CF9AE}" pid="4" name="KSOTemplateDocerSaveRecord">
    <vt:lpwstr>eyJoZGlkIjoiZWQ0ZTNlNTQ5MGY3NGI0ZjBkMmY1Mzk2MDg5MTIyMjgiLCJ1c2VySWQiOiIxMDMyNTc2NjA4In0=</vt:lpwstr>
  </property>
</Properties>
</file>